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617" w:rsidRDefault="00E21C92">
      <w:pPr>
        <w:jc w:val="center"/>
      </w:pPr>
      <w:r>
        <w:fldChar w:fldCharType="begin"/>
      </w:r>
      <w:r w:rsidR="00042617">
        <w:instrText xml:space="preserve"> SEQ CHAPTER \h \r 1</w:instrText>
      </w:r>
      <w:r>
        <w:fldChar w:fldCharType="end"/>
      </w:r>
    </w:p>
    <w:p w:rsidR="00042617" w:rsidRDefault="00042617">
      <w:pPr>
        <w:jc w:val="center"/>
      </w:pPr>
    </w:p>
    <w:p w:rsidR="00042617" w:rsidRDefault="00042617">
      <w:pPr>
        <w:jc w:val="center"/>
      </w:pPr>
    </w:p>
    <w:p w:rsidR="00042617" w:rsidRDefault="00042617">
      <w:pPr>
        <w:jc w:val="center"/>
      </w:pPr>
    </w:p>
    <w:p w:rsidR="00042617" w:rsidRDefault="00042617">
      <w:pPr>
        <w:jc w:val="center"/>
      </w:pPr>
    </w:p>
    <w:p w:rsidR="00042617" w:rsidRDefault="00042617">
      <w:pPr>
        <w:jc w:val="center"/>
      </w:pPr>
    </w:p>
    <w:p w:rsidR="00042617" w:rsidRDefault="00042617">
      <w:pPr>
        <w:jc w:val="center"/>
      </w:pPr>
    </w:p>
    <w:p w:rsidR="00042617" w:rsidRDefault="00042617">
      <w:pPr>
        <w:jc w:val="center"/>
      </w:pPr>
    </w:p>
    <w:p w:rsidR="00042617" w:rsidRDefault="00042617">
      <w:pPr>
        <w:jc w:val="center"/>
      </w:pPr>
    </w:p>
    <w:p w:rsidR="00042617" w:rsidRDefault="00042617">
      <w:pPr>
        <w:jc w:val="center"/>
      </w:pPr>
    </w:p>
    <w:p w:rsidR="00042617" w:rsidRDefault="00042617">
      <w:pPr>
        <w:jc w:val="center"/>
      </w:pPr>
    </w:p>
    <w:p w:rsidR="00042617" w:rsidRDefault="00042617">
      <w:pPr>
        <w:jc w:val="center"/>
      </w:pPr>
    </w:p>
    <w:p w:rsidR="00042617" w:rsidRDefault="00042617">
      <w:pPr>
        <w:jc w:val="center"/>
      </w:pPr>
    </w:p>
    <w:p w:rsidR="00042617" w:rsidRDefault="00042617">
      <w:pPr>
        <w:jc w:val="center"/>
      </w:pPr>
    </w:p>
    <w:p w:rsidR="00042617" w:rsidRDefault="00042617">
      <w:pPr>
        <w:jc w:val="center"/>
      </w:pPr>
    </w:p>
    <w:p w:rsidR="00042617" w:rsidRPr="00D7656B" w:rsidRDefault="00042617">
      <w:pPr>
        <w:jc w:val="center"/>
        <w:rPr>
          <w:sz w:val="36"/>
          <w:szCs w:val="36"/>
        </w:rPr>
      </w:pPr>
      <w:r>
        <w:rPr>
          <w:sz w:val="36"/>
        </w:rPr>
        <w:t xml:space="preserve">Analysis of States’ and EPA Oil &amp; Gas Air Emissions Control Requirements for Selected </w:t>
      </w:r>
      <w:r w:rsidRPr="00D7656B">
        <w:rPr>
          <w:sz w:val="36"/>
          <w:szCs w:val="36"/>
        </w:rPr>
        <w:t>Basins in the West</w:t>
      </w:r>
      <w:r w:rsidR="00B00294" w:rsidRPr="00D7656B">
        <w:rPr>
          <w:sz w:val="36"/>
          <w:szCs w:val="36"/>
        </w:rPr>
        <w:t>ern United States</w:t>
      </w:r>
    </w:p>
    <w:p w:rsidR="00042617" w:rsidRPr="00D7656B" w:rsidRDefault="00D7656B">
      <w:pPr>
        <w:widowControl w:val="0"/>
        <w:jc w:val="center"/>
        <w:rPr>
          <w:sz w:val="36"/>
          <w:szCs w:val="36"/>
        </w:rPr>
      </w:pPr>
      <w:r>
        <w:rPr>
          <w:sz w:val="36"/>
          <w:szCs w:val="36"/>
        </w:rPr>
        <w:t>(</w:t>
      </w:r>
      <w:r w:rsidRPr="00D7656B">
        <w:rPr>
          <w:sz w:val="36"/>
          <w:szCs w:val="36"/>
        </w:rPr>
        <w:t>2013 Update</w:t>
      </w:r>
      <w:r>
        <w:rPr>
          <w:sz w:val="36"/>
          <w:szCs w:val="36"/>
        </w:rPr>
        <w:t>)</w:t>
      </w:r>
    </w:p>
    <w:p w:rsidR="00042617" w:rsidRDefault="00042617">
      <w:pPr>
        <w:widowControl w:val="0"/>
        <w:jc w:val="center"/>
      </w:pPr>
    </w:p>
    <w:p w:rsidR="00042617" w:rsidRDefault="00042617">
      <w:pPr>
        <w:widowControl w:val="0"/>
        <w:jc w:val="center"/>
      </w:pPr>
    </w:p>
    <w:p w:rsidR="00042617" w:rsidRDefault="00042617">
      <w:pPr>
        <w:widowControl w:val="0"/>
        <w:jc w:val="center"/>
        <w:rPr>
          <w:sz w:val="32"/>
        </w:rPr>
      </w:pPr>
      <w:r>
        <w:rPr>
          <w:sz w:val="32"/>
        </w:rPr>
        <w:t>Lee Gribovicz, WRAP Air Quality Project Manager</w:t>
      </w:r>
    </w:p>
    <w:p w:rsidR="00042617" w:rsidRDefault="0021190E">
      <w:pPr>
        <w:widowControl w:val="0"/>
        <w:jc w:val="center"/>
        <w:rPr>
          <w:sz w:val="32"/>
        </w:rPr>
      </w:pPr>
      <w:r>
        <w:rPr>
          <w:sz w:val="32"/>
        </w:rPr>
        <w:t>November</w:t>
      </w:r>
      <w:r w:rsidR="004205B3">
        <w:rPr>
          <w:sz w:val="32"/>
        </w:rPr>
        <w:t xml:space="preserve"> </w:t>
      </w:r>
      <w:r>
        <w:rPr>
          <w:sz w:val="32"/>
        </w:rPr>
        <w:t>8</w:t>
      </w:r>
      <w:r w:rsidR="004205B3">
        <w:rPr>
          <w:sz w:val="32"/>
        </w:rPr>
        <w:t>, 2013</w:t>
      </w:r>
    </w:p>
    <w:p w:rsidR="00FA0B44" w:rsidRDefault="00FA0B44">
      <w:pPr>
        <w:widowControl w:val="0"/>
        <w:jc w:val="center"/>
        <w:rPr>
          <w:sz w:val="32"/>
        </w:rPr>
      </w:pPr>
    </w:p>
    <w:p w:rsidR="00D7656B" w:rsidRDefault="00D7656B">
      <w:pPr>
        <w:widowControl w:val="0"/>
        <w:jc w:val="center"/>
        <w:rPr>
          <w:sz w:val="32"/>
        </w:rPr>
      </w:pPr>
    </w:p>
    <w:p w:rsidR="00FA0B44" w:rsidRDefault="00FA0B44">
      <w:pPr>
        <w:widowControl w:val="0"/>
        <w:jc w:val="center"/>
        <w:rPr>
          <w:sz w:val="32"/>
        </w:rPr>
      </w:pPr>
    </w:p>
    <w:p w:rsidR="00FA0B44" w:rsidRDefault="00FA0B44">
      <w:pPr>
        <w:widowControl w:val="0"/>
        <w:jc w:val="center"/>
        <w:rPr>
          <w:sz w:val="32"/>
        </w:rPr>
      </w:pPr>
      <w:r>
        <w:rPr>
          <w:noProof/>
          <w:sz w:val="32"/>
        </w:rPr>
        <w:drawing>
          <wp:inline distT="0" distB="0" distL="0" distR="0">
            <wp:extent cx="3457575" cy="58102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srcRect/>
                    <a:stretch>
                      <a:fillRect/>
                    </a:stretch>
                  </pic:blipFill>
                  <pic:spPr bwMode="auto">
                    <a:xfrm>
                      <a:off x="0" y="0"/>
                      <a:ext cx="3457575" cy="581025"/>
                    </a:xfrm>
                    <a:prstGeom prst="rect">
                      <a:avLst/>
                    </a:prstGeom>
                    <a:noFill/>
                    <a:ln w="9525">
                      <a:noFill/>
                      <a:miter lim="800000"/>
                      <a:headEnd/>
                      <a:tailEnd/>
                    </a:ln>
                  </pic:spPr>
                </pic:pic>
              </a:graphicData>
            </a:graphic>
          </wp:inline>
        </w:drawing>
      </w:r>
    </w:p>
    <w:p w:rsidR="00B51926" w:rsidRDefault="00042617" w:rsidP="000B0BB8">
      <w:pPr>
        <w:pStyle w:val="Heading1"/>
      </w:pPr>
      <w:r>
        <w:br w:type="page"/>
      </w:r>
    </w:p>
    <w:sdt>
      <w:sdtPr>
        <w:rPr>
          <w:rFonts w:ascii="Times New Roman" w:eastAsia="Times New Roman" w:hAnsi="Times New Roman" w:cs="Times New Roman"/>
          <w:color w:val="auto"/>
          <w:sz w:val="24"/>
          <w:szCs w:val="20"/>
        </w:rPr>
        <w:id w:val="615650794"/>
        <w:docPartObj>
          <w:docPartGallery w:val="Table of Contents"/>
          <w:docPartUnique/>
        </w:docPartObj>
      </w:sdtPr>
      <w:sdtEndPr>
        <w:rPr>
          <w:b/>
          <w:bCs/>
          <w:noProof/>
        </w:rPr>
      </w:sdtEndPr>
      <w:sdtContent>
        <w:p w:rsidR="00B51926" w:rsidRPr="009E440B" w:rsidRDefault="009E440B" w:rsidP="009E440B">
          <w:pPr>
            <w:pStyle w:val="TOCHeading"/>
            <w:jc w:val="center"/>
            <w:rPr>
              <w:rFonts w:ascii="Times New Roman" w:hAnsi="Times New Roman" w:cs="Times New Roman"/>
              <w:color w:val="auto"/>
            </w:rPr>
          </w:pPr>
          <w:r w:rsidRPr="009E440B">
            <w:rPr>
              <w:rFonts w:ascii="Times New Roman" w:hAnsi="Times New Roman" w:cs="Times New Roman"/>
              <w:color w:val="auto"/>
            </w:rPr>
            <w:t>Table of C</w:t>
          </w:r>
          <w:r w:rsidR="00B51926" w:rsidRPr="009E440B">
            <w:rPr>
              <w:rFonts w:ascii="Times New Roman" w:hAnsi="Times New Roman" w:cs="Times New Roman"/>
              <w:color w:val="auto"/>
            </w:rPr>
            <w:t>ontents</w:t>
          </w:r>
        </w:p>
        <w:p w:rsidR="00D17566" w:rsidRDefault="00E85D1A">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"1-4" \h \z \u </w:instrText>
          </w:r>
          <w:r>
            <w:fldChar w:fldCharType="separate"/>
          </w:r>
          <w:hyperlink w:anchor="_Toc369086974" w:history="1">
            <w:r w:rsidR="00D17566" w:rsidRPr="00175CBC">
              <w:rPr>
                <w:rStyle w:val="Hyperlink"/>
                <w:noProof/>
              </w:rPr>
              <w:t>EXECUTIVE SUMMARY</w:t>
            </w:r>
            <w:r w:rsidR="00D17566">
              <w:rPr>
                <w:noProof/>
                <w:webHidden/>
              </w:rPr>
              <w:tab/>
            </w:r>
            <w:r w:rsidR="00D17566">
              <w:rPr>
                <w:noProof/>
                <w:webHidden/>
              </w:rPr>
              <w:fldChar w:fldCharType="begin"/>
            </w:r>
            <w:r w:rsidR="00D17566">
              <w:rPr>
                <w:noProof/>
                <w:webHidden/>
              </w:rPr>
              <w:instrText xml:space="preserve"> PAGEREF _Toc369086974 \h </w:instrText>
            </w:r>
            <w:r w:rsidR="00D17566">
              <w:rPr>
                <w:noProof/>
                <w:webHidden/>
              </w:rPr>
            </w:r>
            <w:r w:rsidR="00D17566">
              <w:rPr>
                <w:noProof/>
                <w:webHidden/>
              </w:rPr>
              <w:fldChar w:fldCharType="separate"/>
            </w:r>
            <w:r w:rsidR="00AB601C">
              <w:rPr>
                <w:noProof/>
                <w:webHidden/>
              </w:rPr>
              <w:t>5</w:t>
            </w:r>
            <w:r w:rsidR="00D17566">
              <w:rPr>
                <w:noProof/>
                <w:webHidden/>
              </w:rPr>
              <w:fldChar w:fldCharType="end"/>
            </w:r>
          </w:hyperlink>
        </w:p>
        <w:p w:rsidR="00D17566" w:rsidRDefault="00645938">
          <w:pPr>
            <w:pStyle w:val="TOC2"/>
            <w:tabs>
              <w:tab w:val="right" w:leader="dot" w:pos="9350"/>
            </w:tabs>
            <w:rPr>
              <w:rFonts w:asciiTheme="minorHAnsi" w:eastAsiaTheme="minorEastAsia" w:hAnsiTheme="minorHAnsi" w:cstheme="minorBidi"/>
              <w:noProof/>
              <w:sz w:val="22"/>
              <w:szCs w:val="22"/>
            </w:rPr>
          </w:pPr>
          <w:hyperlink w:anchor="_Toc369086975" w:history="1">
            <w:r w:rsidR="00D17566" w:rsidRPr="00175CBC">
              <w:rPr>
                <w:rStyle w:val="Hyperlink"/>
                <w:noProof/>
              </w:rPr>
              <w:t>Observations &amp; Conclusions</w:t>
            </w:r>
            <w:r w:rsidR="00D17566">
              <w:rPr>
                <w:noProof/>
                <w:webHidden/>
              </w:rPr>
              <w:tab/>
            </w:r>
            <w:r w:rsidR="00D17566">
              <w:rPr>
                <w:noProof/>
                <w:webHidden/>
              </w:rPr>
              <w:fldChar w:fldCharType="begin"/>
            </w:r>
            <w:r w:rsidR="00D17566">
              <w:rPr>
                <w:noProof/>
                <w:webHidden/>
              </w:rPr>
              <w:instrText xml:space="preserve"> PAGEREF _Toc369086975 \h </w:instrText>
            </w:r>
            <w:r w:rsidR="00D17566">
              <w:rPr>
                <w:noProof/>
                <w:webHidden/>
              </w:rPr>
            </w:r>
            <w:r w:rsidR="00D17566">
              <w:rPr>
                <w:noProof/>
                <w:webHidden/>
              </w:rPr>
              <w:fldChar w:fldCharType="separate"/>
            </w:r>
            <w:r w:rsidR="00AB601C">
              <w:rPr>
                <w:noProof/>
                <w:webHidden/>
              </w:rPr>
              <w:t>6</w:t>
            </w:r>
            <w:r w:rsidR="00D17566">
              <w:rPr>
                <w:noProof/>
                <w:webHidden/>
              </w:rPr>
              <w:fldChar w:fldCharType="end"/>
            </w:r>
          </w:hyperlink>
        </w:p>
        <w:p w:rsidR="00D17566" w:rsidRDefault="00645938">
          <w:pPr>
            <w:pStyle w:val="TOC3"/>
            <w:tabs>
              <w:tab w:val="right" w:leader="dot" w:pos="9350"/>
            </w:tabs>
            <w:rPr>
              <w:rFonts w:asciiTheme="minorHAnsi" w:eastAsiaTheme="minorEastAsia" w:hAnsiTheme="minorHAnsi" w:cstheme="minorBidi"/>
              <w:noProof/>
              <w:sz w:val="22"/>
              <w:szCs w:val="22"/>
            </w:rPr>
          </w:pPr>
          <w:hyperlink w:anchor="_Toc369086976" w:history="1">
            <w:r w:rsidR="00D17566" w:rsidRPr="00175CBC">
              <w:rPr>
                <w:rStyle w:val="Hyperlink"/>
                <w:noProof/>
              </w:rPr>
              <w:t>“Review of New Sources and Modifications in Indian Country” FIP</w:t>
            </w:r>
            <w:r w:rsidR="00D17566">
              <w:rPr>
                <w:noProof/>
                <w:webHidden/>
              </w:rPr>
              <w:tab/>
            </w:r>
            <w:r w:rsidR="00D17566">
              <w:rPr>
                <w:noProof/>
                <w:webHidden/>
              </w:rPr>
              <w:fldChar w:fldCharType="begin"/>
            </w:r>
            <w:r w:rsidR="00D17566">
              <w:rPr>
                <w:noProof/>
                <w:webHidden/>
              </w:rPr>
              <w:instrText xml:space="preserve"> PAGEREF _Toc369086976 \h </w:instrText>
            </w:r>
            <w:r w:rsidR="00D17566">
              <w:rPr>
                <w:noProof/>
                <w:webHidden/>
              </w:rPr>
            </w:r>
            <w:r w:rsidR="00D17566">
              <w:rPr>
                <w:noProof/>
                <w:webHidden/>
              </w:rPr>
              <w:fldChar w:fldCharType="separate"/>
            </w:r>
            <w:r w:rsidR="00AB601C">
              <w:rPr>
                <w:noProof/>
                <w:webHidden/>
              </w:rPr>
              <w:t>6</w:t>
            </w:r>
            <w:r w:rsidR="00D17566">
              <w:rPr>
                <w:noProof/>
                <w:webHidden/>
              </w:rPr>
              <w:fldChar w:fldCharType="end"/>
            </w:r>
          </w:hyperlink>
        </w:p>
        <w:p w:rsidR="00D17566" w:rsidRDefault="00645938">
          <w:pPr>
            <w:pStyle w:val="TOC3"/>
            <w:tabs>
              <w:tab w:val="right" w:leader="dot" w:pos="9350"/>
            </w:tabs>
            <w:rPr>
              <w:rFonts w:asciiTheme="minorHAnsi" w:eastAsiaTheme="minorEastAsia" w:hAnsiTheme="minorHAnsi" w:cstheme="minorBidi"/>
              <w:noProof/>
              <w:sz w:val="22"/>
              <w:szCs w:val="22"/>
            </w:rPr>
          </w:pPr>
          <w:hyperlink w:anchor="_Toc369086977" w:history="1">
            <w:r w:rsidR="00D17566" w:rsidRPr="00175CBC">
              <w:rPr>
                <w:rStyle w:val="Hyperlink"/>
                <w:noProof/>
              </w:rPr>
              <w:t>New Federal O&amp;G NSPS and NESHAPs Regulations</w:t>
            </w:r>
            <w:r w:rsidR="00D17566">
              <w:rPr>
                <w:noProof/>
                <w:webHidden/>
              </w:rPr>
              <w:tab/>
            </w:r>
            <w:r w:rsidR="00D17566">
              <w:rPr>
                <w:noProof/>
                <w:webHidden/>
              </w:rPr>
              <w:fldChar w:fldCharType="begin"/>
            </w:r>
            <w:r w:rsidR="00D17566">
              <w:rPr>
                <w:noProof/>
                <w:webHidden/>
              </w:rPr>
              <w:instrText xml:space="preserve"> PAGEREF _Toc369086977 \h </w:instrText>
            </w:r>
            <w:r w:rsidR="00D17566">
              <w:rPr>
                <w:noProof/>
                <w:webHidden/>
              </w:rPr>
            </w:r>
            <w:r w:rsidR="00D17566">
              <w:rPr>
                <w:noProof/>
                <w:webHidden/>
              </w:rPr>
              <w:fldChar w:fldCharType="separate"/>
            </w:r>
            <w:r w:rsidR="00AB601C">
              <w:rPr>
                <w:noProof/>
                <w:webHidden/>
              </w:rPr>
              <w:t>7</w:t>
            </w:r>
            <w:r w:rsidR="00D17566">
              <w:rPr>
                <w:noProof/>
                <w:webHidden/>
              </w:rPr>
              <w:fldChar w:fldCharType="end"/>
            </w:r>
          </w:hyperlink>
        </w:p>
        <w:p w:rsidR="00D17566" w:rsidRDefault="00645938">
          <w:pPr>
            <w:pStyle w:val="TOC3"/>
            <w:tabs>
              <w:tab w:val="right" w:leader="dot" w:pos="9350"/>
            </w:tabs>
            <w:rPr>
              <w:rStyle w:val="Hyperlink"/>
              <w:noProof/>
            </w:rPr>
          </w:pPr>
          <w:hyperlink w:anchor="_Toc369086978" w:history="1">
            <w:r w:rsidR="00D17566" w:rsidRPr="00175CBC">
              <w:rPr>
                <w:rStyle w:val="Hyperlink"/>
                <w:noProof/>
              </w:rPr>
              <w:t>Existing Federal NSPS Combustion Regulations</w:t>
            </w:r>
            <w:r w:rsidR="00D17566">
              <w:rPr>
                <w:noProof/>
                <w:webHidden/>
              </w:rPr>
              <w:tab/>
            </w:r>
            <w:r w:rsidR="00D17566">
              <w:rPr>
                <w:noProof/>
                <w:webHidden/>
              </w:rPr>
              <w:fldChar w:fldCharType="begin"/>
            </w:r>
            <w:r w:rsidR="00D17566">
              <w:rPr>
                <w:noProof/>
                <w:webHidden/>
              </w:rPr>
              <w:instrText xml:space="preserve"> PAGEREF _Toc369086978 \h </w:instrText>
            </w:r>
            <w:r w:rsidR="00D17566">
              <w:rPr>
                <w:noProof/>
                <w:webHidden/>
              </w:rPr>
            </w:r>
            <w:r w:rsidR="00D17566">
              <w:rPr>
                <w:noProof/>
                <w:webHidden/>
              </w:rPr>
              <w:fldChar w:fldCharType="separate"/>
            </w:r>
            <w:r w:rsidR="00AB601C">
              <w:rPr>
                <w:noProof/>
                <w:webHidden/>
              </w:rPr>
              <w:t>8</w:t>
            </w:r>
            <w:r w:rsidR="00D17566">
              <w:rPr>
                <w:noProof/>
                <w:webHidden/>
              </w:rPr>
              <w:fldChar w:fldCharType="end"/>
            </w:r>
          </w:hyperlink>
        </w:p>
        <w:p w:rsidR="00D17566" w:rsidRPr="00D17566" w:rsidRDefault="00D17566" w:rsidP="00D17566">
          <w:pPr>
            <w:rPr>
              <w:rFonts w:eastAsiaTheme="minorEastAsia"/>
              <w:noProof/>
            </w:rPr>
          </w:pPr>
        </w:p>
        <w:p w:rsidR="00D17566" w:rsidRDefault="00645938">
          <w:pPr>
            <w:pStyle w:val="TOC1"/>
            <w:tabs>
              <w:tab w:val="right" w:leader="dot" w:pos="9350"/>
            </w:tabs>
            <w:rPr>
              <w:rStyle w:val="Hyperlink"/>
              <w:noProof/>
            </w:rPr>
          </w:pPr>
          <w:hyperlink w:anchor="_Toc369086979" w:history="1">
            <w:r w:rsidR="00D17566" w:rsidRPr="00175CBC">
              <w:rPr>
                <w:rStyle w:val="Hyperlink"/>
                <w:noProof/>
              </w:rPr>
              <w:t>BACKGROUND</w:t>
            </w:r>
            <w:r w:rsidR="00D17566">
              <w:rPr>
                <w:noProof/>
                <w:webHidden/>
              </w:rPr>
              <w:tab/>
            </w:r>
            <w:r w:rsidR="00D17566">
              <w:rPr>
                <w:noProof/>
                <w:webHidden/>
              </w:rPr>
              <w:fldChar w:fldCharType="begin"/>
            </w:r>
            <w:r w:rsidR="00D17566">
              <w:rPr>
                <w:noProof/>
                <w:webHidden/>
              </w:rPr>
              <w:instrText xml:space="preserve"> PAGEREF _Toc369086979 \h </w:instrText>
            </w:r>
            <w:r w:rsidR="00D17566">
              <w:rPr>
                <w:noProof/>
                <w:webHidden/>
              </w:rPr>
            </w:r>
            <w:r w:rsidR="00D17566">
              <w:rPr>
                <w:noProof/>
                <w:webHidden/>
              </w:rPr>
              <w:fldChar w:fldCharType="separate"/>
            </w:r>
            <w:r w:rsidR="00AB601C">
              <w:rPr>
                <w:noProof/>
                <w:webHidden/>
              </w:rPr>
              <w:t>9</w:t>
            </w:r>
            <w:r w:rsidR="00D17566">
              <w:rPr>
                <w:noProof/>
                <w:webHidden/>
              </w:rPr>
              <w:fldChar w:fldCharType="end"/>
            </w:r>
          </w:hyperlink>
        </w:p>
        <w:p w:rsidR="00D17566" w:rsidRPr="00D17566" w:rsidRDefault="00D17566" w:rsidP="00D17566">
          <w:pPr>
            <w:rPr>
              <w:rFonts w:eastAsiaTheme="minorEastAsia"/>
              <w:noProof/>
            </w:rPr>
          </w:pPr>
        </w:p>
        <w:p w:rsidR="00D17566" w:rsidRDefault="00645938">
          <w:pPr>
            <w:pStyle w:val="TOC1"/>
            <w:tabs>
              <w:tab w:val="right" w:leader="dot" w:pos="9350"/>
            </w:tabs>
            <w:rPr>
              <w:rFonts w:asciiTheme="minorHAnsi" w:eastAsiaTheme="minorEastAsia" w:hAnsiTheme="minorHAnsi" w:cstheme="minorBidi"/>
              <w:noProof/>
              <w:sz w:val="22"/>
              <w:szCs w:val="22"/>
            </w:rPr>
          </w:pPr>
          <w:hyperlink w:anchor="_Toc369086980" w:history="1">
            <w:r w:rsidR="00D17566" w:rsidRPr="00175CBC">
              <w:rPr>
                <w:rStyle w:val="Hyperlink"/>
                <w:noProof/>
              </w:rPr>
              <w:t>1.   REVIEW OF NEW SOURCES &amp; MODIFICATIONS IN INDIAN COUNTRY</w:t>
            </w:r>
            <w:r w:rsidR="00D17566">
              <w:rPr>
                <w:noProof/>
                <w:webHidden/>
              </w:rPr>
              <w:tab/>
            </w:r>
            <w:r w:rsidR="00D17566">
              <w:rPr>
                <w:noProof/>
                <w:webHidden/>
              </w:rPr>
              <w:fldChar w:fldCharType="begin"/>
            </w:r>
            <w:r w:rsidR="00D17566">
              <w:rPr>
                <w:noProof/>
                <w:webHidden/>
              </w:rPr>
              <w:instrText xml:space="preserve"> PAGEREF _Toc369086980 \h </w:instrText>
            </w:r>
            <w:r w:rsidR="00D17566">
              <w:rPr>
                <w:noProof/>
                <w:webHidden/>
              </w:rPr>
            </w:r>
            <w:r w:rsidR="00D17566">
              <w:rPr>
                <w:noProof/>
                <w:webHidden/>
              </w:rPr>
              <w:fldChar w:fldCharType="separate"/>
            </w:r>
            <w:r w:rsidR="00AB601C">
              <w:rPr>
                <w:noProof/>
                <w:webHidden/>
              </w:rPr>
              <w:t>14</w:t>
            </w:r>
            <w:r w:rsidR="00D17566">
              <w:rPr>
                <w:noProof/>
                <w:webHidden/>
              </w:rPr>
              <w:fldChar w:fldCharType="end"/>
            </w:r>
          </w:hyperlink>
        </w:p>
        <w:p w:rsidR="00D17566" w:rsidRDefault="00645938">
          <w:pPr>
            <w:pStyle w:val="TOC2"/>
            <w:tabs>
              <w:tab w:val="right" w:leader="dot" w:pos="9350"/>
            </w:tabs>
            <w:rPr>
              <w:rFonts w:asciiTheme="minorHAnsi" w:eastAsiaTheme="minorEastAsia" w:hAnsiTheme="minorHAnsi" w:cstheme="minorBidi"/>
              <w:noProof/>
              <w:sz w:val="22"/>
              <w:szCs w:val="22"/>
            </w:rPr>
          </w:pPr>
          <w:hyperlink w:anchor="_Toc369086981" w:history="1">
            <w:r w:rsidR="00D17566" w:rsidRPr="00175CBC">
              <w:rPr>
                <w:rStyle w:val="Hyperlink"/>
                <w:noProof/>
              </w:rPr>
              <w:t>Background and Overview of Action</w:t>
            </w:r>
            <w:r w:rsidR="00D17566">
              <w:rPr>
                <w:noProof/>
                <w:webHidden/>
              </w:rPr>
              <w:tab/>
            </w:r>
            <w:r w:rsidR="00D17566">
              <w:rPr>
                <w:noProof/>
                <w:webHidden/>
              </w:rPr>
              <w:fldChar w:fldCharType="begin"/>
            </w:r>
            <w:r w:rsidR="00D17566">
              <w:rPr>
                <w:noProof/>
                <w:webHidden/>
              </w:rPr>
              <w:instrText xml:space="preserve"> PAGEREF _Toc369086981 \h </w:instrText>
            </w:r>
            <w:r w:rsidR="00D17566">
              <w:rPr>
                <w:noProof/>
                <w:webHidden/>
              </w:rPr>
            </w:r>
            <w:r w:rsidR="00D17566">
              <w:rPr>
                <w:noProof/>
                <w:webHidden/>
              </w:rPr>
              <w:fldChar w:fldCharType="separate"/>
            </w:r>
            <w:r w:rsidR="00AB601C">
              <w:rPr>
                <w:noProof/>
                <w:webHidden/>
              </w:rPr>
              <w:t>14</w:t>
            </w:r>
            <w:r w:rsidR="00D17566">
              <w:rPr>
                <w:noProof/>
                <w:webHidden/>
              </w:rPr>
              <w:fldChar w:fldCharType="end"/>
            </w:r>
          </w:hyperlink>
        </w:p>
        <w:p w:rsidR="00D17566" w:rsidRDefault="00645938">
          <w:pPr>
            <w:pStyle w:val="TOC3"/>
            <w:tabs>
              <w:tab w:val="right" w:leader="dot" w:pos="9350"/>
            </w:tabs>
            <w:rPr>
              <w:rFonts w:asciiTheme="minorHAnsi" w:eastAsiaTheme="minorEastAsia" w:hAnsiTheme="minorHAnsi" w:cstheme="minorBidi"/>
              <w:noProof/>
              <w:sz w:val="22"/>
              <w:szCs w:val="22"/>
            </w:rPr>
          </w:pPr>
          <w:hyperlink w:anchor="_Toc369086982" w:history="1">
            <w:r w:rsidR="00D17566" w:rsidRPr="00175CBC">
              <w:rPr>
                <w:rStyle w:val="Hyperlink"/>
                <w:noProof/>
              </w:rPr>
              <w:t>a.  Minor Source NSR Rule in Indian Country</w:t>
            </w:r>
            <w:r w:rsidR="00D17566">
              <w:rPr>
                <w:noProof/>
                <w:webHidden/>
              </w:rPr>
              <w:tab/>
            </w:r>
            <w:r w:rsidR="00D17566">
              <w:rPr>
                <w:noProof/>
                <w:webHidden/>
              </w:rPr>
              <w:fldChar w:fldCharType="begin"/>
            </w:r>
            <w:r w:rsidR="00D17566">
              <w:rPr>
                <w:noProof/>
                <w:webHidden/>
              </w:rPr>
              <w:instrText xml:space="preserve"> PAGEREF _Toc369086982 \h </w:instrText>
            </w:r>
            <w:r w:rsidR="00D17566">
              <w:rPr>
                <w:noProof/>
                <w:webHidden/>
              </w:rPr>
            </w:r>
            <w:r w:rsidR="00D17566">
              <w:rPr>
                <w:noProof/>
                <w:webHidden/>
              </w:rPr>
              <w:fldChar w:fldCharType="separate"/>
            </w:r>
            <w:r w:rsidR="00AB601C">
              <w:rPr>
                <w:noProof/>
                <w:webHidden/>
              </w:rPr>
              <w:t>15</w:t>
            </w:r>
            <w:r w:rsidR="00D17566">
              <w:rPr>
                <w:noProof/>
                <w:webHidden/>
              </w:rPr>
              <w:fldChar w:fldCharType="end"/>
            </w:r>
          </w:hyperlink>
        </w:p>
        <w:p w:rsidR="00D17566" w:rsidRDefault="00645938">
          <w:pPr>
            <w:pStyle w:val="TOC4"/>
            <w:tabs>
              <w:tab w:val="right" w:leader="dot" w:pos="9350"/>
            </w:tabs>
            <w:rPr>
              <w:rFonts w:asciiTheme="minorHAnsi" w:eastAsiaTheme="minorEastAsia" w:hAnsiTheme="minorHAnsi" w:cstheme="minorBidi"/>
              <w:noProof/>
              <w:sz w:val="22"/>
              <w:szCs w:val="22"/>
            </w:rPr>
          </w:pPr>
          <w:hyperlink w:anchor="_Toc369086983" w:history="1">
            <w:r w:rsidR="00D17566" w:rsidRPr="00175CBC">
              <w:rPr>
                <w:rStyle w:val="Hyperlink"/>
                <w:noProof/>
              </w:rPr>
              <w:t>Table 1:  MINOR NSR THRESHOLDS</w:t>
            </w:r>
            <w:r w:rsidR="00D17566">
              <w:rPr>
                <w:noProof/>
                <w:webHidden/>
              </w:rPr>
              <w:tab/>
            </w:r>
            <w:r w:rsidR="00D17566">
              <w:rPr>
                <w:noProof/>
                <w:webHidden/>
              </w:rPr>
              <w:fldChar w:fldCharType="begin"/>
            </w:r>
            <w:r w:rsidR="00D17566">
              <w:rPr>
                <w:noProof/>
                <w:webHidden/>
              </w:rPr>
              <w:instrText xml:space="preserve"> PAGEREF _Toc369086983 \h </w:instrText>
            </w:r>
            <w:r w:rsidR="00D17566">
              <w:rPr>
                <w:noProof/>
                <w:webHidden/>
              </w:rPr>
            </w:r>
            <w:r w:rsidR="00D17566">
              <w:rPr>
                <w:noProof/>
                <w:webHidden/>
              </w:rPr>
              <w:fldChar w:fldCharType="separate"/>
            </w:r>
            <w:r w:rsidR="00AB601C">
              <w:rPr>
                <w:noProof/>
                <w:webHidden/>
              </w:rPr>
              <w:t>17</w:t>
            </w:r>
            <w:r w:rsidR="00D17566">
              <w:rPr>
                <w:noProof/>
                <w:webHidden/>
              </w:rPr>
              <w:fldChar w:fldCharType="end"/>
            </w:r>
          </w:hyperlink>
        </w:p>
        <w:p w:rsidR="00D17566" w:rsidRDefault="00645938">
          <w:pPr>
            <w:pStyle w:val="TOC3"/>
            <w:tabs>
              <w:tab w:val="right" w:leader="dot" w:pos="9350"/>
            </w:tabs>
            <w:rPr>
              <w:rFonts w:asciiTheme="minorHAnsi" w:eastAsiaTheme="minorEastAsia" w:hAnsiTheme="minorHAnsi" w:cstheme="minorBidi"/>
              <w:noProof/>
              <w:sz w:val="22"/>
              <w:szCs w:val="22"/>
            </w:rPr>
          </w:pPr>
          <w:hyperlink w:anchor="_Toc369086984" w:history="1">
            <w:r w:rsidR="00D17566" w:rsidRPr="00175CBC">
              <w:rPr>
                <w:rStyle w:val="Hyperlink"/>
                <w:noProof/>
              </w:rPr>
              <w:t>b.  Nonattainment Major NSR Rule in Indian Country</w:t>
            </w:r>
            <w:r w:rsidR="00D17566">
              <w:rPr>
                <w:noProof/>
                <w:webHidden/>
              </w:rPr>
              <w:tab/>
            </w:r>
            <w:r w:rsidR="00D17566">
              <w:rPr>
                <w:noProof/>
                <w:webHidden/>
              </w:rPr>
              <w:fldChar w:fldCharType="begin"/>
            </w:r>
            <w:r w:rsidR="00D17566">
              <w:rPr>
                <w:noProof/>
                <w:webHidden/>
              </w:rPr>
              <w:instrText xml:space="preserve"> PAGEREF _Toc369086984 \h </w:instrText>
            </w:r>
            <w:r w:rsidR="00D17566">
              <w:rPr>
                <w:noProof/>
                <w:webHidden/>
              </w:rPr>
            </w:r>
            <w:r w:rsidR="00D17566">
              <w:rPr>
                <w:noProof/>
                <w:webHidden/>
              </w:rPr>
              <w:fldChar w:fldCharType="separate"/>
            </w:r>
            <w:r w:rsidR="00AB601C">
              <w:rPr>
                <w:noProof/>
                <w:webHidden/>
              </w:rPr>
              <w:t>18</w:t>
            </w:r>
            <w:r w:rsidR="00D17566">
              <w:rPr>
                <w:noProof/>
                <w:webHidden/>
              </w:rPr>
              <w:fldChar w:fldCharType="end"/>
            </w:r>
          </w:hyperlink>
        </w:p>
        <w:p w:rsidR="00D17566" w:rsidRDefault="00645938">
          <w:pPr>
            <w:pStyle w:val="TOC2"/>
            <w:tabs>
              <w:tab w:val="right" w:leader="dot" w:pos="9350"/>
            </w:tabs>
            <w:rPr>
              <w:rStyle w:val="Hyperlink"/>
              <w:noProof/>
            </w:rPr>
          </w:pPr>
          <w:hyperlink w:anchor="_Toc369086985" w:history="1">
            <w:r w:rsidR="00D17566" w:rsidRPr="00175CBC">
              <w:rPr>
                <w:rStyle w:val="Hyperlink"/>
                <w:noProof/>
              </w:rPr>
              <w:t>Implementation</w:t>
            </w:r>
            <w:r w:rsidR="00D17566">
              <w:rPr>
                <w:noProof/>
                <w:webHidden/>
              </w:rPr>
              <w:tab/>
            </w:r>
            <w:r w:rsidR="00D17566">
              <w:rPr>
                <w:noProof/>
                <w:webHidden/>
              </w:rPr>
              <w:fldChar w:fldCharType="begin"/>
            </w:r>
            <w:r w:rsidR="00D17566">
              <w:rPr>
                <w:noProof/>
                <w:webHidden/>
              </w:rPr>
              <w:instrText xml:space="preserve"> PAGEREF _Toc369086985 \h </w:instrText>
            </w:r>
            <w:r w:rsidR="00D17566">
              <w:rPr>
                <w:noProof/>
                <w:webHidden/>
              </w:rPr>
            </w:r>
            <w:r w:rsidR="00D17566">
              <w:rPr>
                <w:noProof/>
                <w:webHidden/>
              </w:rPr>
              <w:fldChar w:fldCharType="separate"/>
            </w:r>
            <w:r w:rsidR="00AB601C">
              <w:rPr>
                <w:noProof/>
                <w:webHidden/>
              </w:rPr>
              <w:t>18</w:t>
            </w:r>
            <w:r w:rsidR="00D17566">
              <w:rPr>
                <w:noProof/>
                <w:webHidden/>
              </w:rPr>
              <w:fldChar w:fldCharType="end"/>
            </w:r>
          </w:hyperlink>
        </w:p>
        <w:p w:rsidR="00D17566" w:rsidRPr="00D17566" w:rsidRDefault="00D17566" w:rsidP="00D17566">
          <w:pPr>
            <w:rPr>
              <w:rFonts w:eastAsiaTheme="minorEastAsia"/>
              <w:noProof/>
            </w:rPr>
          </w:pPr>
        </w:p>
        <w:p w:rsidR="00D17566" w:rsidRDefault="00645938">
          <w:pPr>
            <w:pStyle w:val="TOC1"/>
            <w:tabs>
              <w:tab w:val="right" w:leader="dot" w:pos="9350"/>
            </w:tabs>
            <w:rPr>
              <w:rFonts w:asciiTheme="minorHAnsi" w:eastAsiaTheme="minorEastAsia" w:hAnsiTheme="minorHAnsi" w:cstheme="minorBidi"/>
              <w:noProof/>
              <w:sz w:val="22"/>
              <w:szCs w:val="22"/>
            </w:rPr>
          </w:pPr>
          <w:hyperlink w:anchor="_Toc369086986" w:history="1">
            <w:r w:rsidR="00D17566" w:rsidRPr="00175CBC">
              <w:rPr>
                <w:rStyle w:val="Hyperlink"/>
                <w:noProof/>
              </w:rPr>
              <w:t>2.  REVIEW OF EPA OIL AND NATURAL GAS AIR REGULATIONS</w:t>
            </w:r>
            <w:r w:rsidR="00D17566">
              <w:rPr>
                <w:noProof/>
                <w:webHidden/>
              </w:rPr>
              <w:tab/>
            </w:r>
            <w:r w:rsidR="00D17566">
              <w:rPr>
                <w:noProof/>
                <w:webHidden/>
              </w:rPr>
              <w:fldChar w:fldCharType="begin"/>
            </w:r>
            <w:r w:rsidR="00D17566">
              <w:rPr>
                <w:noProof/>
                <w:webHidden/>
              </w:rPr>
              <w:instrText xml:space="preserve"> PAGEREF _Toc369086986 \h </w:instrText>
            </w:r>
            <w:r w:rsidR="00D17566">
              <w:rPr>
                <w:noProof/>
                <w:webHidden/>
              </w:rPr>
            </w:r>
            <w:r w:rsidR="00D17566">
              <w:rPr>
                <w:noProof/>
                <w:webHidden/>
              </w:rPr>
              <w:fldChar w:fldCharType="separate"/>
            </w:r>
            <w:r w:rsidR="00AB601C">
              <w:rPr>
                <w:noProof/>
                <w:webHidden/>
              </w:rPr>
              <w:t>19</w:t>
            </w:r>
            <w:r w:rsidR="00D17566">
              <w:rPr>
                <w:noProof/>
                <w:webHidden/>
              </w:rPr>
              <w:fldChar w:fldCharType="end"/>
            </w:r>
          </w:hyperlink>
        </w:p>
        <w:p w:rsidR="00D17566" w:rsidRDefault="00645938">
          <w:pPr>
            <w:pStyle w:val="TOC2"/>
            <w:tabs>
              <w:tab w:val="right" w:leader="dot" w:pos="9350"/>
            </w:tabs>
            <w:rPr>
              <w:rFonts w:asciiTheme="minorHAnsi" w:eastAsiaTheme="minorEastAsia" w:hAnsiTheme="minorHAnsi" w:cstheme="minorBidi"/>
              <w:noProof/>
              <w:sz w:val="22"/>
              <w:szCs w:val="22"/>
            </w:rPr>
          </w:pPr>
          <w:hyperlink w:anchor="_Toc369086987" w:history="1">
            <w:r w:rsidR="00D17566" w:rsidRPr="00175CBC">
              <w:rPr>
                <w:rStyle w:val="Hyperlink"/>
                <w:noProof/>
              </w:rPr>
              <w:t>Background and Overview of Action</w:t>
            </w:r>
            <w:r w:rsidR="00D17566">
              <w:rPr>
                <w:noProof/>
                <w:webHidden/>
              </w:rPr>
              <w:tab/>
            </w:r>
            <w:r w:rsidR="00D17566">
              <w:rPr>
                <w:noProof/>
                <w:webHidden/>
              </w:rPr>
              <w:fldChar w:fldCharType="begin"/>
            </w:r>
            <w:r w:rsidR="00D17566">
              <w:rPr>
                <w:noProof/>
                <w:webHidden/>
              </w:rPr>
              <w:instrText xml:space="preserve"> PAGEREF _Toc369086987 \h </w:instrText>
            </w:r>
            <w:r w:rsidR="00D17566">
              <w:rPr>
                <w:noProof/>
                <w:webHidden/>
              </w:rPr>
            </w:r>
            <w:r w:rsidR="00D17566">
              <w:rPr>
                <w:noProof/>
                <w:webHidden/>
              </w:rPr>
              <w:fldChar w:fldCharType="separate"/>
            </w:r>
            <w:r w:rsidR="00AB601C">
              <w:rPr>
                <w:noProof/>
                <w:webHidden/>
              </w:rPr>
              <w:t>19</w:t>
            </w:r>
            <w:r w:rsidR="00D17566">
              <w:rPr>
                <w:noProof/>
                <w:webHidden/>
              </w:rPr>
              <w:fldChar w:fldCharType="end"/>
            </w:r>
          </w:hyperlink>
        </w:p>
        <w:p w:rsidR="00D17566" w:rsidRDefault="00645938">
          <w:pPr>
            <w:pStyle w:val="TOC4"/>
            <w:tabs>
              <w:tab w:val="right" w:leader="dot" w:pos="9350"/>
            </w:tabs>
            <w:rPr>
              <w:rFonts w:asciiTheme="minorHAnsi" w:eastAsiaTheme="minorEastAsia" w:hAnsiTheme="minorHAnsi" w:cstheme="minorBidi"/>
              <w:noProof/>
              <w:sz w:val="22"/>
              <w:szCs w:val="22"/>
            </w:rPr>
          </w:pPr>
          <w:hyperlink w:anchor="_Toc369086988" w:history="1">
            <w:r w:rsidR="00D17566" w:rsidRPr="00175CBC">
              <w:rPr>
                <w:rStyle w:val="Hyperlink"/>
                <w:noProof/>
              </w:rPr>
              <w:t>New Source Performance Standards Subpart OOOO for V</w:t>
            </w:r>
            <w:r w:rsidR="00D17566">
              <w:rPr>
                <w:rStyle w:val="Hyperlink"/>
                <w:noProof/>
              </w:rPr>
              <w:t>olatile Organic Compounds</w:t>
            </w:r>
            <w:r w:rsidR="00D17566">
              <w:rPr>
                <w:noProof/>
                <w:webHidden/>
              </w:rPr>
              <w:tab/>
            </w:r>
            <w:r w:rsidR="00D17566">
              <w:rPr>
                <w:noProof/>
                <w:webHidden/>
              </w:rPr>
              <w:fldChar w:fldCharType="begin"/>
            </w:r>
            <w:r w:rsidR="00D17566">
              <w:rPr>
                <w:noProof/>
                <w:webHidden/>
              </w:rPr>
              <w:instrText xml:space="preserve"> PAGEREF _Toc369086988 \h </w:instrText>
            </w:r>
            <w:r w:rsidR="00D17566">
              <w:rPr>
                <w:noProof/>
                <w:webHidden/>
              </w:rPr>
            </w:r>
            <w:r w:rsidR="00D17566">
              <w:rPr>
                <w:noProof/>
                <w:webHidden/>
              </w:rPr>
              <w:fldChar w:fldCharType="separate"/>
            </w:r>
            <w:r w:rsidR="00AB601C">
              <w:rPr>
                <w:noProof/>
                <w:webHidden/>
              </w:rPr>
              <w:t>20</w:t>
            </w:r>
            <w:r w:rsidR="00D17566">
              <w:rPr>
                <w:noProof/>
                <w:webHidden/>
              </w:rPr>
              <w:fldChar w:fldCharType="end"/>
            </w:r>
          </w:hyperlink>
        </w:p>
        <w:p w:rsidR="00D17566" w:rsidRDefault="00645938">
          <w:pPr>
            <w:pStyle w:val="TOC4"/>
            <w:tabs>
              <w:tab w:val="right" w:leader="dot" w:pos="9350"/>
            </w:tabs>
            <w:rPr>
              <w:rFonts w:asciiTheme="minorHAnsi" w:eastAsiaTheme="minorEastAsia" w:hAnsiTheme="minorHAnsi" w:cstheme="minorBidi"/>
              <w:noProof/>
              <w:sz w:val="22"/>
              <w:szCs w:val="22"/>
            </w:rPr>
          </w:pPr>
          <w:hyperlink w:anchor="_Toc369086989" w:history="1">
            <w:r w:rsidR="00D17566" w:rsidRPr="00175CBC">
              <w:rPr>
                <w:rStyle w:val="Hyperlink"/>
                <w:noProof/>
              </w:rPr>
              <w:t>New Source Performance Standards (Subpart OOOO) for Sulfur Dioxide</w:t>
            </w:r>
            <w:r w:rsidR="00D17566">
              <w:rPr>
                <w:noProof/>
                <w:webHidden/>
              </w:rPr>
              <w:tab/>
            </w:r>
            <w:r w:rsidR="00D17566">
              <w:rPr>
                <w:noProof/>
                <w:webHidden/>
              </w:rPr>
              <w:fldChar w:fldCharType="begin"/>
            </w:r>
            <w:r w:rsidR="00D17566">
              <w:rPr>
                <w:noProof/>
                <w:webHidden/>
              </w:rPr>
              <w:instrText xml:space="preserve"> PAGEREF _Toc369086989 \h </w:instrText>
            </w:r>
            <w:r w:rsidR="00D17566">
              <w:rPr>
                <w:noProof/>
                <w:webHidden/>
              </w:rPr>
            </w:r>
            <w:r w:rsidR="00D17566">
              <w:rPr>
                <w:noProof/>
                <w:webHidden/>
              </w:rPr>
              <w:fldChar w:fldCharType="separate"/>
            </w:r>
            <w:r w:rsidR="00AB601C">
              <w:rPr>
                <w:noProof/>
                <w:webHidden/>
              </w:rPr>
              <w:t>23</w:t>
            </w:r>
            <w:r w:rsidR="00D17566">
              <w:rPr>
                <w:noProof/>
                <w:webHidden/>
              </w:rPr>
              <w:fldChar w:fldCharType="end"/>
            </w:r>
          </w:hyperlink>
        </w:p>
        <w:p w:rsidR="00D17566" w:rsidRDefault="00645938">
          <w:pPr>
            <w:pStyle w:val="TOC3"/>
            <w:tabs>
              <w:tab w:val="right" w:leader="dot" w:pos="9350"/>
            </w:tabs>
            <w:rPr>
              <w:rFonts w:asciiTheme="minorHAnsi" w:eastAsiaTheme="minorEastAsia" w:hAnsiTheme="minorHAnsi" w:cstheme="minorBidi"/>
              <w:noProof/>
              <w:sz w:val="22"/>
              <w:szCs w:val="22"/>
            </w:rPr>
          </w:pPr>
          <w:hyperlink w:anchor="_Toc369086990" w:history="1">
            <w:r w:rsidR="00D17566" w:rsidRPr="00175CBC">
              <w:rPr>
                <w:rStyle w:val="Hyperlink"/>
                <w:noProof/>
              </w:rPr>
              <w:t>b.  Summary of Adopted National Emissions Standards for Hazardous Air Pollutants</w:t>
            </w:r>
            <w:r w:rsidR="00D17566">
              <w:rPr>
                <w:noProof/>
                <w:webHidden/>
              </w:rPr>
              <w:tab/>
            </w:r>
            <w:r w:rsidR="00D17566">
              <w:rPr>
                <w:noProof/>
                <w:webHidden/>
              </w:rPr>
              <w:fldChar w:fldCharType="begin"/>
            </w:r>
            <w:r w:rsidR="00D17566">
              <w:rPr>
                <w:noProof/>
                <w:webHidden/>
              </w:rPr>
              <w:instrText xml:space="preserve"> PAGEREF _Toc369086990 \h </w:instrText>
            </w:r>
            <w:r w:rsidR="00D17566">
              <w:rPr>
                <w:noProof/>
                <w:webHidden/>
              </w:rPr>
            </w:r>
            <w:r w:rsidR="00D17566">
              <w:rPr>
                <w:noProof/>
                <w:webHidden/>
              </w:rPr>
              <w:fldChar w:fldCharType="separate"/>
            </w:r>
            <w:r w:rsidR="00AB601C">
              <w:rPr>
                <w:noProof/>
                <w:webHidden/>
              </w:rPr>
              <w:t>23</w:t>
            </w:r>
            <w:r w:rsidR="00D17566">
              <w:rPr>
                <w:noProof/>
                <w:webHidden/>
              </w:rPr>
              <w:fldChar w:fldCharType="end"/>
            </w:r>
          </w:hyperlink>
        </w:p>
        <w:p w:rsidR="00D17566" w:rsidRDefault="00645938">
          <w:pPr>
            <w:pStyle w:val="TOC4"/>
            <w:tabs>
              <w:tab w:val="right" w:leader="dot" w:pos="9350"/>
            </w:tabs>
            <w:rPr>
              <w:rFonts w:asciiTheme="minorHAnsi" w:eastAsiaTheme="minorEastAsia" w:hAnsiTheme="minorHAnsi" w:cstheme="minorBidi"/>
              <w:noProof/>
              <w:sz w:val="22"/>
              <w:szCs w:val="22"/>
            </w:rPr>
          </w:pPr>
          <w:hyperlink w:anchor="_Toc369086991" w:history="1">
            <w:r w:rsidR="00D17566" w:rsidRPr="00175CBC">
              <w:rPr>
                <w:rStyle w:val="Hyperlink"/>
                <w:noProof/>
              </w:rPr>
              <w:t>NESHAP Standards for Oil &amp; Natural Gas Production (Subpart HH)</w:t>
            </w:r>
            <w:r w:rsidR="00D17566">
              <w:rPr>
                <w:noProof/>
                <w:webHidden/>
              </w:rPr>
              <w:tab/>
            </w:r>
            <w:r w:rsidR="00D17566">
              <w:rPr>
                <w:noProof/>
                <w:webHidden/>
              </w:rPr>
              <w:fldChar w:fldCharType="begin"/>
            </w:r>
            <w:r w:rsidR="00D17566">
              <w:rPr>
                <w:noProof/>
                <w:webHidden/>
              </w:rPr>
              <w:instrText xml:space="preserve"> PAGEREF _Toc369086991 \h </w:instrText>
            </w:r>
            <w:r w:rsidR="00D17566">
              <w:rPr>
                <w:noProof/>
                <w:webHidden/>
              </w:rPr>
            </w:r>
            <w:r w:rsidR="00D17566">
              <w:rPr>
                <w:noProof/>
                <w:webHidden/>
              </w:rPr>
              <w:fldChar w:fldCharType="separate"/>
            </w:r>
            <w:r w:rsidR="00AB601C">
              <w:rPr>
                <w:noProof/>
                <w:webHidden/>
              </w:rPr>
              <w:t>23</w:t>
            </w:r>
            <w:r w:rsidR="00D17566">
              <w:rPr>
                <w:noProof/>
                <w:webHidden/>
              </w:rPr>
              <w:fldChar w:fldCharType="end"/>
            </w:r>
          </w:hyperlink>
        </w:p>
        <w:p w:rsidR="00D17566" w:rsidRDefault="00645938">
          <w:pPr>
            <w:pStyle w:val="TOC4"/>
            <w:tabs>
              <w:tab w:val="right" w:leader="dot" w:pos="9350"/>
            </w:tabs>
            <w:rPr>
              <w:rStyle w:val="Hyperlink"/>
              <w:noProof/>
            </w:rPr>
          </w:pPr>
          <w:hyperlink w:anchor="_Toc369086992" w:history="1">
            <w:r w:rsidR="00D17566" w:rsidRPr="00175CBC">
              <w:rPr>
                <w:rStyle w:val="Hyperlink"/>
                <w:noProof/>
              </w:rPr>
              <w:t>NESHAP Standards for Natural Gas Transmission and Storage (Subpart HHH)</w:t>
            </w:r>
            <w:r w:rsidR="00D17566">
              <w:rPr>
                <w:noProof/>
                <w:webHidden/>
              </w:rPr>
              <w:tab/>
            </w:r>
            <w:r w:rsidR="00D17566">
              <w:rPr>
                <w:noProof/>
                <w:webHidden/>
              </w:rPr>
              <w:fldChar w:fldCharType="begin"/>
            </w:r>
            <w:r w:rsidR="00D17566">
              <w:rPr>
                <w:noProof/>
                <w:webHidden/>
              </w:rPr>
              <w:instrText xml:space="preserve"> PAGEREF _Toc369086992 \h </w:instrText>
            </w:r>
            <w:r w:rsidR="00D17566">
              <w:rPr>
                <w:noProof/>
                <w:webHidden/>
              </w:rPr>
            </w:r>
            <w:r w:rsidR="00D17566">
              <w:rPr>
                <w:noProof/>
                <w:webHidden/>
              </w:rPr>
              <w:fldChar w:fldCharType="separate"/>
            </w:r>
            <w:r w:rsidR="00AB601C">
              <w:rPr>
                <w:noProof/>
                <w:webHidden/>
              </w:rPr>
              <w:t>24</w:t>
            </w:r>
            <w:r w:rsidR="00D17566">
              <w:rPr>
                <w:noProof/>
                <w:webHidden/>
              </w:rPr>
              <w:fldChar w:fldCharType="end"/>
            </w:r>
          </w:hyperlink>
        </w:p>
        <w:p w:rsidR="00D17566" w:rsidRPr="00D17566" w:rsidRDefault="00D17566" w:rsidP="00D17566">
          <w:pPr>
            <w:rPr>
              <w:rFonts w:eastAsiaTheme="minorEastAsia"/>
              <w:noProof/>
            </w:rPr>
          </w:pPr>
        </w:p>
        <w:p w:rsidR="00D17566" w:rsidRDefault="00645938">
          <w:pPr>
            <w:pStyle w:val="TOC1"/>
            <w:tabs>
              <w:tab w:val="right" w:leader="dot" w:pos="9350"/>
            </w:tabs>
            <w:rPr>
              <w:rFonts w:asciiTheme="minorHAnsi" w:eastAsiaTheme="minorEastAsia" w:hAnsiTheme="minorHAnsi" w:cstheme="minorBidi"/>
              <w:noProof/>
              <w:sz w:val="22"/>
              <w:szCs w:val="22"/>
            </w:rPr>
          </w:pPr>
          <w:hyperlink w:anchor="_Toc369086993" w:history="1">
            <w:r w:rsidR="00D17566" w:rsidRPr="00175CBC">
              <w:rPr>
                <w:rStyle w:val="Hyperlink"/>
                <w:noProof/>
              </w:rPr>
              <w:t>3.  REVIEW OF EPA COMBUSTION AIR REGULATIONS</w:t>
            </w:r>
            <w:r w:rsidR="00D17566">
              <w:rPr>
                <w:noProof/>
                <w:webHidden/>
              </w:rPr>
              <w:tab/>
            </w:r>
            <w:r w:rsidR="00D17566">
              <w:rPr>
                <w:noProof/>
                <w:webHidden/>
              </w:rPr>
              <w:fldChar w:fldCharType="begin"/>
            </w:r>
            <w:r w:rsidR="00D17566">
              <w:rPr>
                <w:noProof/>
                <w:webHidden/>
              </w:rPr>
              <w:instrText xml:space="preserve"> PAGEREF _Toc369086993 \h </w:instrText>
            </w:r>
            <w:r w:rsidR="00D17566">
              <w:rPr>
                <w:noProof/>
                <w:webHidden/>
              </w:rPr>
            </w:r>
            <w:r w:rsidR="00D17566">
              <w:rPr>
                <w:noProof/>
                <w:webHidden/>
              </w:rPr>
              <w:fldChar w:fldCharType="separate"/>
            </w:r>
            <w:r w:rsidR="00AB601C">
              <w:rPr>
                <w:noProof/>
                <w:webHidden/>
              </w:rPr>
              <w:t>25</w:t>
            </w:r>
            <w:r w:rsidR="00D17566">
              <w:rPr>
                <w:noProof/>
                <w:webHidden/>
              </w:rPr>
              <w:fldChar w:fldCharType="end"/>
            </w:r>
          </w:hyperlink>
        </w:p>
        <w:p w:rsidR="00D17566" w:rsidRDefault="00645938">
          <w:pPr>
            <w:pStyle w:val="TOC2"/>
            <w:tabs>
              <w:tab w:val="right" w:leader="dot" w:pos="9350"/>
            </w:tabs>
            <w:rPr>
              <w:rFonts w:asciiTheme="minorHAnsi" w:eastAsiaTheme="minorEastAsia" w:hAnsiTheme="minorHAnsi" w:cstheme="minorBidi"/>
              <w:noProof/>
              <w:sz w:val="22"/>
              <w:szCs w:val="22"/>
            </w:rPr>
          </w:pPr>
          <w:hyperlink w:anchor="_Toc369086994" w:history="1">
            <w:r w:rsidR="00D17566" w:rsidRPr="00175CBC">
              <w:rPr>
                <w:rStyle w:val="Hyperlink"/>
                <w:noProof/>
              </w:rPr>
              <w:t>a.  NSPS Subpart Db and Dc</w:t>
            </w:r>
            <w:r w:rsidR="00D17566">
              <w:rPr>
                <w:noProof/>
                <w:webHidden/>
              </w:rPr>
              <w:tab/>
            </w:r>
            <w:r w:rsidR="00D17566">
              <w:rPr>
                <w:noProof/>
                <w:webHidden/>
              </w:rPr>
              <w:fldChar w:fldCharType="begin"/>
            </w:r>
            <w:r w:rsidR="00D17566">
              <w:rPr>
                <w:noProof/>
                <w:webHidden/>
              </w:rPr>
              <w:instrText xml:space="preserve"> PAGEREF _Toc369086994 \h </w:instrText>
            </w:r>
            <w:r w:rsidR="00D17566">
              <w:rPr>
                <w:noProof/>
                <w:webHidden/>
              </w:rPr>
            </w:r>
            <w:r w:rsidR="00D17566">
              <w:rPr>
                <w:noProof/>
                <w:webHidden/>
              </w:rPr>
              <w:fldChar w:fldCharType="separate"/>
            </w:r>
            <w:r w:rsidR="00AB601C">
              <w:rPr>
                <w:noProof/>
                <w:webHidden/>
              </w:rPr>
              <w:t>25</w:t>
            </w:r>
            <w:r w:rsidR="00D17566">
              <w:rPr>
                <w:noProof/>
                <w:webHidden/>
              </w:rPr>
              <w:fldChar w:fldCharType="end"/>
            </w:r>
          </w:hyperlink>
        </w:p>
        <w:p w:rsidR="00D17566" w:rsidRDefault="00645938">
          <w:pPr>
            <w:pStyle w:val="TOC2"/>
            <w:tabs>
              <w:tab w:val="right" w:leader="dot" w:pos="9350"/>
            </w:tabs>
            <w:rPr>
              <w:rFonts w:asciiTheme="minorHAnsi" w:eastAsiaTheme="minorEastAsia" w:hAnsiTheme="minorHAnsi" w:cstheme="minorBidi"/>
              <w:noProof/>
              <w:sz w:val="22"/>
              <w:szCs w:val="22"/>
            </w:rPr>
          </w:pPr>
          <w:hyperlink w:anchor="_Toc369086995" w:history="1">
            <w:r w:rsidR="00D17566" w:rsidRPr="00175CBC">
              <w:rPr>
                <w:rStyle w:val="Hyperlink"/>
                <w:noProof/>
              </w:rPr>
              <w:t>b.  NSPS Subpart IIII</w:t>
            </w:r>
            <w:r w:rsidR="00D17566">
              <w:rPr>
                <w:noProof/>
                <w:webHidden/>
              </w:rPr>
              <w:tab/>
            </w:r>
            <w:r w:rsidR="00D17566">
              <w:rPr>
                <w:noProof/>
                <w:webHidden/>
              </w:rPr>
              <w:fldChar w:fldCharType="begin"/>
            </w:r>
            <w:r w:rsidR="00D17566">
              <w:rPr>
                <w:noProof/>
                <w:webHidden/>
              </w:rPr>
              <w:instrText xml:space="preserve"> PAGEREF _Toc369086995 \h </w:instrText>
            </w:r>
            <w:r w:rsidR="00D17566">
              <w:rPr>
                <w:noProof/>
                <w:webHidden/>
              </w:rPr>
            </w:r>
            <w:r w:rsidR="00D17566">
              <w:rPr>
                <w:noProof/>
                <w:webHidden/>
              </w:rPr>
              <w:fldChar w:fldCharType="separate"/>
            </w:r>
            <w:r w:rsidR="00AB601C">
              <w:rPr>
                <w:noProof/>
                <w:webHidden/>
              </w:rPr>
              <w:t>25</w:t>
            </w:r>
            <w:r w:rsidR="00D17566">
              <w:rPr>
                <w:noProof/>
                <w:webHidden/>
              </w:rPr>
              <w:fldChar w:fldCharType="end"/>
            </w:r>
          </w:hyperlink>
        </w:p>
        <w:p w:rsidR="00D17566" w:rsidRDefault="00645938">
          <w:pPr>
            <w:pStyle w:val="TOC2"/>
            <w:tabs>
              <w:tab w:val="right" w:leader="dot" w:pos="9350"/>
            </w:tabs>
            <w:rPr>
              <w:rFonts w:asciiTheme="minorHAnsi" w:eastAsiaTheme="minorEastAsia" w:hAnsiTheme="minorHAnsi" w:cstheme="minorBidi"/>
              <w:noProof/>
              <w:sz w:val="22"/>
              <w:szCs w:val="22"/>
            </w:rPr>
          </w:pPr>
          <w:hyperlink w:anchor="_Toc369086996" w:history="1">
            <w:r w:rsidR="00D17566" w:rsidRPr="00175CBC">
              <w:rPr>
                <w:rStyle w:val="Hyperlink"/>
                <w:noProof/>
              </w:rPr>
              <w:t>c.  NSPS Subpart JJJJ</w:t>
            </w:r>
            <w:r w:rsidR="00D17566">
              <w:rPr>
                <w:noProof/>
                <w:webHidden/>
              </w:rPr>
              <w:tab/>
            </w:r>
            <w:r w:rsidR="00D17566">
              <w:rPr>
                <w:noProof/>
                <w:webHidden/>
              </w:rPr>
              <w:fldChar w:fldCharType="begin"/>
            </w:r>
            <w:r w:rsidR="00D17566">
              <w:rPr>
                <w:noProof/>
                <w:webHidden/>
              </w:rPr>
              <w:instrText xml:space="preserve"> PAGEREF _Toc369086996 \h </w:instrText>
            </w:r>
            <w:r w:rsidR="00D17566">
              <w:rPr>
                <w:noProof/>
                <w:webHidden/>
              </w:rPr>
            </w:r>
            <w:r w:rsidR="00D17566">
              <w:rPr>
                <w:noProof/>
                <w:webHidden/>
              </w:rPr>
              <w:fldChar w:fldCharType="separate"/>
            </w:r>
            <w:r w:rsidR="00AB601C">
              <w:rPr>
                <w:noProof/>
                <w:webHidden/>
              </w:rPr>
              <w:t>26</w:t>
            </w:r>
            <w:r w:rsidR="00D17566">
              <w:rPr>
                <w:noProof/>
                <w:webHidden/>
              </w:rPr>
              <w:fldChar w:fldCharType="end"/>
            </w:r>
          </w:hyperlink>
        </w:p>
        <w:p w:rsidR="00D17566" w:rsidRDefault="00645938">
          <w:pPr>
            <w:pStyle w:val="TOC2"/>
            <w:tabs>
              <w:tab w:val="right" w:leader="dot" w:pos="9350"/>
            </w:tabs>
            <w:rPr>
              <w:rFonts w:asciiTheme="minorHAnsi" w:eastAsiaTheme="minorEastAsia" w:hAnsiTheme="minorHAnsi" w:cstheme="minorBidi"/>
              <w:noProof/>
              <w:sz w:val="22"/>
              <w:szCs w:val="22"/>
            </w:rPr>
          </w:pPr>
          <w:hyperlink w:anchor="_Toc369086997" w:history="1">
            <w:r w:rsidR="00D17566" w:rsidRPr="00175CBC">
              <w:rPr>
                <w:rStyle w:val="Hyperlink"/>
                <w:noProof/>
              </w:rPr>
              <w:t>d.  NSPS Subpart KKKK</w:t>
            </w:r>
            <w:r w:rsidR="00D17566">
              <w:rPr>
                <w:noProof/>
                <w:webHidden/>
              </w:rPr>
              <w:tab/>
            </w:r>
            <w:r w:rsidR="00D17566">
              <w:rPr>
                <w:noProof/>
                <w:webHidden/>
              </w:rPr>
              <w:fldChar w:fldCharType="begin"/>
            </w:r>
            <w:r w:rsidR="00D17566">
              <w:rPr>
                <w:noProof/>
                <w:webHidden/>
              </w:rPr>
              <w:instrText xml:space="preserve"> PAGEREF _Toc369086997 \h </w:instrText>
            </w:r>
            <w:r w:rsidR="00D17566">
              <w:rPr>
                <w:noProof/>
                <w:webHidden/>
              </w:rPr>
            </w:r>
            <w:r w:rsidR="00D17566">
              <w:rPr>
                <w:noProof/>
                <w:webHidden/>
              </w:rPr>
              <w:fldChar w:fldCharType="separate"/>
            </w:r>
            <w:r w:rsidR="00AB601C">
              <w:rPr>
                <w:noProof/>
                <w:webHidden/>
              </w:rPr>
              <w:t>26</w:t>
            </w:r>
            <w:r w:rsidR="00D17566">
              <w:rPr>
                <w:noProof/>
                <w:webHidden/>
              </w:rPr>
              <w:fldChar w:fldCharType="end"/>
            </w:r>
          </w:hyperlink>
        </w:p>
        <w:p w:rsidR="00D17566" w:rsidRDefault="00645938">
          <w:pPr>
            <w:pStyle w:val="TOC2"/>
            <w:tabs>
              <w:tab w:val="right" w:leader="dot" w:pos="9350"/>
            </w:tabs>
            <w:rPr>
              <w:rStyle w:val="Hyperlink"/>
              <w:noProof/>
            </w:rPr>
          </w:pPr>
          <w:hyperlink w:anchor="_Toc369086998" w:history="1">
            <w:r w:rsidR="00D17566" w:rsidRPr="00175CBC">
              <w:rPr>
                <w:rStyle w:val="Hyperlink"/>
                <w:noProof/>
              </w:rPr>
              <w:t>e.  EPA Mobile Source Nonroad Engines</w:t>
            </w:r>
            <w:r w:rsidR="00D17566">
              <w:rPr>
                <w:noProof/>
                <w:webHidden/>
              </w:rPr>
              <w:tab/>
            </w:r>
            <w:r w:rsidR="00D17566">
              <w:rPr>
                <w:noProof/>
                <w:webHidden/>
              </w:rPr>
              <w:fldChar w:fldCharType="begin"/>
            </w:r>
            <w:r w:rsidR="00D17566">
              <w:rPr>
                <w:noProof/>
                <w:webHidden/>
              </w:rPr>
              <w:instrText xml:space="preserve"> PAGEREF _Toc369086998 \h </w:instrText>
            </w:r>
            <w:r w:rsidR="00D17566">
              <w:rPr>
                <w:noProof/>
                <w:webHidden/>
              </w:rPr>
            </w:r>
            <w:r w:rsidR="00D17566">
              <w:rPr>
                <w:noProof/>
                <w:webHidden/>
              </w:rPr>
              <w:fldChar w:fldCharType="separate"/>
            </w:r>
            <w:r w:rsidR="00AB601C">
              <w:rPr>
                <w:noProof/>
                <w:webHidden/>
              </w:rPr>
              <w:t>27</w:t>
            </w:r>
            <w:r w:rsidR="00D17566">
              <w:rPr>
                <w:noProof/>
                <w:webHidden/>
              </w:rPr>
              <w:fldChar w:fldCharType="end"/>
            </w:r>
          </w:hyperlink>
        </w:p>
        <w:p w:rsidR="00D17566" w:rsidRPr="00D17566" w:rsidRDefault="00D17566" w:rsidP="00D17566">
          <w:pPr>
            <w:rPr>
              <w:rFonts w:eastAsiaTheme="minorEastAsia"/>
              <w:noProof/>
            </w:rPr>
          </w:pPr>
        </w:p>
        <w:p w:rsidR="00D17566" w:rsidRDefault="00645938">
          <w:pPr>
            <w:pStyle w:val="TOC1"/>
            <w:tabs>
              <w:tab w:val="right" w:leader="dot" w:pos="9350"/>
            </w:tabs>
            <w:rPr>
              <w:rFonts w:asciiTheme="minorHAnsi" w:eastAsiaTheme="minorEastAsia" w:hAnsiTheme="minorHAnsi" w:cstheme="minorBidi"/>
              <w:noProof/>
              <w:sz w:val="22"/>
              <w:szCs w:val="22"/>
            </w:rPr>
          </w:pPr>
          <w:hyperlink w:anchor="_Toc369086999" w:history="1">
            <w:r w:rsidR="00D17566" w:rsidRPr="00175CBC">
              <w:rPr>
                <w:rStyle w:val="Hyperlink"/>
                <w:noProof/>
              </w:rPr>
              <w:t>4.  REVIEW OF STATE OIL AND NATURAL GAS RULES</w:t>
            </w:r>
            <w:r w:rsidR="00D17566">
              <w:rPr>
                <w:noProof/>
                <w:webHidden/>
              </w:rPr>
              <w:tab/>
            </w:r>
            <w:r w:rsidR="00D17566">
              <w:rPr>
                <w:noProof/>
                <w:webHidden/>
              </w:rPr>
              <w:fldChar w:fldCharType="begin"/>
            </w:r>
            <w:r w:rsidR="00D17566">
              <w:rPr>
                <w:noProof/>
                <w:webHidden/>
              </w:rPr>
              <w:instrText xml:space="preserve"> PAGEREF _Toc369086999 \h </w:instrText>
            </w:r>
            <w:r w:rsidR="00D17566">
              <w:rPr>
                <w:noProof/>
                <w:webHidden/>
              </w:rPr>
            </w:r>
            <w:r w:rsidR="00D17566">
              <w:rPr>
                <w:noProof/>
                <w:webHidden/>
              </w:rPr>
              <w:fldChar w:fldCharType="separate"/>
            </w:r>
            <w:r w:rsidR="00AB601C">
              <w:rPr>
                <w:noProof/>
                <w:webHidden/>
              </w:rPr>
              <w:t>28</w:t>
            </w:r>
            <w:r w:rsidR="00D17566">
              <w:rPr>
                <w:noProof/>
                <w:webHidden/>
              </w:rPr>
              <w:fldChar w:fldCharType="end"/>
            </w:r>
          </w:hyperlink>
        </w:p>
        <w:p w:rsidR="00D17566" w:rsidRDefault="00645938">
          <w:pPr>
            <w:pStyle w:val="TOC2"/>
            <w:tabs>
              <w:tab w:val="right" w:leader="dot" w:pos="9350"/>
            </w:tabs>
            <w:rPr>
              <w:rFonts w:asciiTheme="minorHAnsi" w:eastAsiaTheme="minorEastAsia" w:hAnsiTheme="minorHAnsi" w:cstheme="minorBidi"/>
              <w:noProof/>
              <w:sz w:val="22"/>
              <w:szCs w:val="22"/>
            </w:rPr>
          </w:pPr>
          <w:hyperlink w:anchor="_Toc369087000" w:history="1">
            <w:r w:rsidR="00D17566" w:rsidRPr="00175CBC">
              <w:rPr>
                <w:rStyle w:val="Hyperlink"/>
                <w:noProof/>
              </w:rPr>
              <w:t>a.  Summary of Existing State Rules</w:t>
            </w:r>
            <w:r w:rsidR="00D17566">
              <w:rPr>
                <w:noProof/>
                <w:webHidden/>
              </w:rPr>
              <w:tab/>
            </w:r>
            <w:r w:rsidR="00D17566">
              <w:rPr>
                <w:noProof/>
                <w:webHidden/>
              </w:rPr>
              <w:fldChar w:fldCharType="begin"/>
            </w:r>
            <w:r w:rsidR="00D17566">
              <w:rPr>
                <w:noProof/>
                <w:webHidden/>
              </w:rPr>
              <w:instrText xml:space="preserve"> PAGEREF _Toc369087000 \h </w:instrText>
            </w:r>
            <w:r w:rsidR="00D17566">
              <w:rPr>
                <w:noProof/>
                <w:webHidden/>
              </w:rPr>
            </w:r>
            <w:r w:rsidR="00D17566">
              <w:rPr>
                <w:noProof/>
                <w:webHidden/>
              </w:rPr>
              <w:fldChar w:fldCharType="separate"/>
            </w:r>
            <w:r w:rsidR="00AB601C">
              <w:rPr>
                <w:noProof/>
                <w:webHidden/>
              </w:rPr>
              <w:t>28</w:t>
            </w:r>
            <w:r w:rsidR="00D17566">
              <w:rPr>
                <w:noProof/>
                <w:webHidden/>
              </w:rPr>
              <w:fldChar w:fldCharType="end"/>
            </w:r>
          </w:hyperlink>
        </w:p>
        <w:p w:rsidR="00D17566" w:rsidRDefault="00645938">
          <w:pPr>
            <w:pStyle w:val="TOC4"/>
            <w:tabs>
              <w:tab w:val="right" w:leader="dot" w:pos="9350"/>
            </w:tabs>
            <w:rPr>
              <w:rFonts w:asciiTheme="minorHAnsi" w:eastAsiaTheme="minorEastAsia" w:hAnsiTheme="minorHAnsi" w:cstheme="minorBidi"/>
              <w:noProof/>
              <w:sz w:val="22"/>
              <w:szCs w:val="22"/>
            </w:rPr>
          </w:pPr>
          <w:hyperlink w:anchor="_Toc369087001" w:history="1">
            <w:r w:rsidR="00D17566" w:rsidRPr="00175CBC">
              <w:rPr>
                <w:rStyle w:val="Hyperlink"/>
                <w:noProof/>
              </w:rPr>
              <w:t>Table 2:  State Control Regs as Compared to Federal (VOC &amp; Minor Source Permits)</w:t>
            </w:r>
            <w:r w:rsidR="00D17566">
              <w:rPr>
                <w:noProof/>
                <w:webHidden/>
              </w:rPr>
              <w:tab/>
            </w:r>
            <w:r w:rsidR="00D17566">
              <w:rPr>
                <w:noProof/>
                <w:webHidden/>
              </w:rPr>
              <w:fldChar w:fldCharType="begin"/>
            </w:r>
            <w:r w:rsidR="00D17566">
              <w:rPr>
                <w:noProof/>
                <w:webHidden/>
              </w:rPr>
              <w:instrText xml:space="preserve"> PAGEREF _Toc369087001 \h </w:instrText>
            </w:r>
            <w:r w:rsidR="00D17566">
              <w:rPr>
                <w:noProof/>
                <w:webHidden/>
              </w:rPr>
            </w:r>
            <w:r w:rsidR="00D17566">
              <w:rPr>
                <w:noProof/>
                <w:webHidden/>
              </w:rPr>
              <w:fldChar w:fldCharType="separate"/>
            </w:r>
            <w:r w:rsidR="00AB601C">
              <w:rPr>
                <w:noProof/>
                <w:webHidden/>
              </w:rPr>
              <w:t>29</w:t>
            </w:r>
            <w:r w:rsidR="00D17566">
              <w:rPr>
                <w:noProof/>
                <w:webHidden/>
              </w:rPr>
              <w:fldChar w:fldCharType="end"/>
            </w:r>
          </w:hyperlink>
        </w:p>
        <w:p w:rsidR="00D17566" w:rsidRDefault="00645938">
          <w:pPr>
            <w:pStyle w:val="TOC4"/>
            <w:tabs>
              <w:tab w:val="right" w:leader="dot" w:pos="9350"/>
            </w:tabs>
            <w:rPr>
              <w:rFonts w:asciiTheme="minorHAnsi" w:eastAsiaTheme="minorEastAsia" w:hAnsiTheme="minorHAnsi" w:cstheme="minorBidi"/>
              <w:noProof/>
              <w:sz w:val="22"/>
              <w:szCs w:val="22"/>
            </w:rPr>
          </w:pPr>
          <w:hyperlink w:anchor="_Toc369087002" w:history="1">
            <w:r w:rsidR="00D17566" w:rsidRPr="00175CBC">
              <w:rPr>
                <w:rStyle w:val="Hyperlink"/>
                <w:noProof/>
              </w:rPr>
              <w:t>Table 3:  State Control Regs as Compared to Federal (NOx Control Requirements)</w:t>
            </w:r>
            <w:r w:rsidR="00D17566">
              <w:rPr>
                <w:noProof/>
                <w:webHidden/>
              </w:rPr>
              <w:tab/>
            </w:r>
            <w:r w:rsidR="00D17566">
              <w:rPr>
                <w:noProof/>
                <w:webHidden/>
              </w:rPr>
              <w:fldChar w:fldCharType="begin"/>
            </w:r>
            <w:r w:rsidR="00D17566">
              <w:rPr>
                <w:noProof/>
                <w:webHidden/>
              </w:rPr>
              <w:instrText xml:space="preserve"> PAGEREF _Toc369087002 \h </w:instrText>
            </w:r>
            <w:r w:rsidR="00D17566">
              <w:rPr>
                <w:noProof/>
                <w:webHidden/>
              </w:rPr>
            </w:r>
            <w:r w:rsidR="00D17566">
              <w:rPr>
                <w:noProof/>
                <w:webHidden/>
              </w:rPr>
              <w:fldChar w:fldCharType="separate"/>
            </w:r>
            <w:r w:rsidR="00AB601C">
              <w:rPr>
                <w:noProof/>
                <w:webHidden/>
              </w:rPr>
              <w:t>33</w:t>
            </w:r>
            <w:r w:rsidR="00D17566">
              <w:rPr>
                <w:noProof/>
                <w:webHidden/>
              </w:rPr>
              <w:fldChar w:fldCharType="end"/>
            </w:r>
          </w:hyperlink>
        </w:p>
        <w:p w:rsidR="00D17566" w:rsidRDefault="00645938">
          <w:pPr>
            <w:pStyle w:val="TOC3"/>
            <w:tabs>
              <w:tab w:val="right" w:leader="dot" w:pos="9350"/>
            </w:tabs>
            <w:rPr>
              <w:rFonts w:asciiTheme="minorHAnsi" w:eastAsiaTheme="minorEastAsia" w:hAnsiTheme="minorHAnsi" w:cstheme="minorBidi"/>
              <w:noProof/>
              <w:sz w:val="22"/>
              <w:szCs w:val="22"/>
            </w:rPr>
          </w:pPr>
          <w:hyperlink w:anchor="_Toc369087003" w:history="1">
            <w:r w:rsidR="00D17566" w:rsidRPr="00175CBC">
              <w:rPr>
                <w:rStyle w:val="Hyperlink"/>
                <w:noProof/>
              </w:rPr>
              <w:t>Alaska</w:t>
            </w:r>
            <w:r w:rsidR="00D17566">
              <w:rPr>
                <w:noProof/>
                <w:webHidden/>
              </w:rPr>
              <w:tab/>
            </w:r>
            <w:r w:rsidR="00D17566">
              <w:rPr>
                <w:noProof/>
                <w:webHidden/>
              </w:rPr>
              <w:fldChar w:fldCharType="begin"/>
            </w:r>
            <w:r w:rsidR="00D17566">
              <w:rPr>
                <w:noProof/>
                <w:webHidden/>
              </w:rPr>
              <w:instrText xml:space="preserve"> PAGEREF _Toc369087003 \h </w:instrText>
            </w:r>
            <w:r w:rsidR="00D17566">
              <w:rPr>
                <w:noProof/>
                <w:webHidden/>
              </w:rPr>
            </w:r>
            <w:r w:rsidR="00D17566">
              <w:rPr>
                <w:noProof/>
                <w:webHidden/>
              </w:rPr>
              <w:fldChar w:fldCharType="separate"/>
            </w:r>
            <w:r w:rsidR="00AB601C">
              <w:rPr>
                <w:noProof/>
                <w:webHidden/>
              </w:rPr>
              <w:t>35</w:t>
            </w:r>
            <w:r w:rsidR="00D17566">
              <w:rPr>
                <w:noProof/>
                <w:webHidden/>
              </w:rPr>
              <w:fldChar w:fldCharType="end"/>
            </w:r>
          </w:hyperlink>
        </w:p>
        <w:p w:rsidR="00D17566" w:rsidRDefault="00645938">
          <w:pPr>
            <w:pStyle w:val="TOC3"/>
            <w:tabs>
              <w:tab w:val="right" w:leader="dot" w:pos="9350"/>
            </w:tabs>
            <w:rPr>
              <w:rFonts w:asciiTheme="minorHAnsi" w:eastAsiaTheme="minorEastAsia" w:hAnsiTheme="minorHAnsi" w:cstheme="minorBidi"/>
              <w:noProof/>
              <w:sz w:val="22"/>
              <w:szCs w:val="22"/>
            </w:rPr>
          </w:pPr>
          <w:hyperlink w:anchor="_Toc369087004" w:history="1">
            <w:r w:rsidR="00D17566" w:rsidRPr="00175CBC">
              <w:rPr>
                <w:rStyle w:val="Hyperlink"/>
                <w:noProof/>
              </w:rPr>
              <w:t>Colorado</w:t>
            </w:r>
            <w:r w:rsidR="00D17566">
              <w:rPr>
                <w:noProof/>
                <w:webHidden/>
              </w:rPr>
              <w:tab/>
            </w:r>
            <w:r w:rsidR="00D17566">
              <w:rPr>
                <w:noProof/>
                <w:webHidden/>
              </w:rPr>
              <w:fldChar w:fldCharType="begin"/>
            </w:r>
            <w:r w:rsidR="00D17566">
              <w:rPr>
                <w:noProof/>
                <w:webHidden/>
              </w:rPr>
              <w:instrText xml:space="preserve"> PAGEREF _Toc369087004 \h </w:instrText>
            </w:r>
            <w:r w:rsidR="00D17566">
              <w:rPr>
                <w:noProof/>
                <w:webHidden/>
              </w:rPr>
            </w:r>
            <w:r w:rsidR="00D17566">
              <w:rPr>
                <w:noProof/>
                <w:webHidden/>
              </w:rPr>
              <w:fldChar w:fldCharType="separate"/>
            </w:r>
            <w:r w:rsidR="00AB601C">
              <w:rPr>
                <w:noProof/>
                <w:webHidden/>
              </w:rPr>
              <w:t>35</w:t>
            </w:r>
            <w:r w:rsidR="00D17566">
              <w:rPr>
                <w:noProof/>
                <w:webHidden/>
              </w:rPr>
              <w:fldChar w:fldCharType="end"/>
            </w:r>
          </w:hyperlink>
        </w:p>
        <w:p w:rsidR="00D17566" w:rsidRDefault="00645938">
          <w:pPr>
            <w:pStyle w:val="TOC3"/>
            <w:tabs>
              <w:tab w:val="right" w:leader="dot" w:pos="9350"/>
            </w:tabs>
            <w:rPr>
              <w:rFonts w:asciiTheme="minorHAnsi" w:eastAsiaTheme="minorEastAsia" w:hAnsiTheme="minorHAnsi" w:cstheme="minorBidi"/>
              <w:noProof/>
              <w:sz w:val="22"/>
              <w:szCs w:val="22"/>
            </w:rPr>
          </w:pPr>
          <w:hyperlink w:anchor="_Toc369087005" w:history="1">
            <w:r w:rsidR="00D17566" w:rsidRPr="00175CBC">
              <w:rPr>
                <w:rStyle w:val="Hyperlink"/>
                <w:noProof/>
              </w:rPr>
              <w:t>Montana</w:t>
            </w:r>
            <w:r w:rsidR="00D17566">
              <w:rPr>
                <w:noProof/>
                <w:webHidden/>
              </w:rPr>
              <w:tab/>
            </w:r>
            <w:r w:rsidR="00D17566">
              <w:rPr>
                <w:noProof/>
                <w:webHidden/>
              </w:rPr>
              <w:fldChar w:fldCharType="begin"/>
            </w:r>
            <w:r w:rsidR="00D17566">
              <w:rPr>
                <w:noProof/>
                <w:webHidden/>
              </w:rPr>
              <w:instrText xml:space="preserve"> PAGEREF _Toc369087005 \h </w:instrText>
            </w:r>
            <w:r w:rsidR="00D17566">
              <w:rPr>
                <w:noProof/>
                <w:webHidden/>
              </w:rPr>
            </w:r>
            <w:r w:rsidR="00D17566">
              <w:rPr>
                <w:noProof/>
                <w:webHidden/>
              </w:rPr>
              <w:fldChar w:fldCharType="separate"/>
            </w:r>
            <w:r w:rsidR="00AB601C">
              <w:rPr>
                <w:noProof/>
                <w:webHidden/>
              </w:rPr>
              <w:t>37</w:t>
            </w:r>
            <w:r w:rsidR="00D17566">
              <w:rPr>
                <w:noProof/>
                <w:webHidden/>
              </w:rPr>
              <w:fldChar w:fldCharType="end"/>
            </w:r>
          </w:hyperlink>
        </w:p>
        <w:p w:rsidR="00D17566" w:rsidRDefault="00645938">
          <w:pPr>
            <w:pStyle w:val="TOC3"/>
            <w:tabs>
              <w:tab w:val="right" w:leader="dot" w:pos="9350"/>
            </w:tabs>
            <w:rPr>
              <w:rFonts w:asciiTheme="minorHAnsi" w:eastAsiaTheme="minorEastAsia" w:hAnsiTheme="minorHAnsi" w:cstheme="minorBidi"/>
              <w:noProof/>
              <w:sz w:val="22"/>
              <w:szCs w:val="22"/>
            </w:rPr>
          </w:pPr>
          <w:hyperlink w:anchor="_Toc369087006" w:history="1">
            <w:r w:rsidR="00D17566" w:rsidRPr="00175CBC">
              <w:rPr>
                <w:rStyle w:val="Hyperlink"/>
                <w:noProof/>
              </w:rPr>
              <w:t>New Mexico</w:t>
            </w:r>
            <w:r w:rsidR="00D17566">
              <w:rPr>
                <w:noProof/>
                <w:webHidden/>
              </w:rPr>
              <w:tab/>
            </w:r>
            <w:r w:rsidR="00D17566">
              <w:rPr>
                <w:noProof/>
                <w:webHidden/>
              </w:rPr>
              <w:fldChar w:fldCharType="begin"/>
            </w:r>
            <w:r w:rsidR="00D17566">
              <w:rPr>
                <w:noProof/>
                <w:webHidden/>
              </w:rPr>
              <w:instrText xml:space="preserve"> PAGEREF _Toc369087006 \h </w:instrText>
            </w:r>
            <w:r w:rsidR="00D17566">
              <w:rPr>
                <w:noProof/>
                <w:webHidden/>
              </w:rPr>
            </w:r>
            <w:r w:rsidR="00D17566">
              <w:rPr>
                <w:noProof/>
                <w:webHidden/>
              </w:rPr>
              <w:fldChar w:fldCharType="separate"/>
            </w:r>
            <w:r w:rsidR="00AB601C">
              <w:rPr>
                <w:noProof/>
                <w:webHidden/>
              </w:rPr>
              <w:t>38</w:t>
            </w:r>
            <w:r w:rsidR="00D17566">
              <w:rPr>
                <w:noProof/>
                <w:webHidden/>
              </w:rPr>
              <w:fldChar w:fldCharType="end"/>
            </w:r>
          </w:hyperlink>
        </w:p>
        <w:p w:rsidR="00D17566" w:rsidRDefault="00645938">
          <w:pPr>
            <w:pStyle w:val="TOC3"/>
            <w:tabs>
              <w:tab w:val="right" w:leader="dot" w:pos="9350"/>
            </w:tabs>
            <w:rPr>
              <w:rFonts w:asciiTheme="minorHAnsi" w:eastAsiaTheme="minorEastAsia" w:hAnsiTheme="minorHAnsi" w:cstheme="minorBidi"/>
              <w:noProof/>
              <w:sz w:val="22"/>
              <w:szCs w:val="22"/>
            </w:rPr>
          </w:pPr>
          <w:hyperlink w:anchor="_Toc369087007" w:history="1">
            <w:r w:rsidR="00D17566" w:rsidRPr="00175CBC">
              <w:rPr>
                <w:rStyle w:val="Hyperlink"/>
                <w:noProof/>
              </w:rPr>
              <w:t>North Dakota</w:t>
            </w:r>
            <w:r w:rsidR="00D17566">
              <w:rPr>
                <w:noProof/>
                <w:webHidden/>
              </w:rPr>
              <w:tab/>
            </w:r>
            <w:r w:rsidR="00D17566">
              <w:rPr>
                <w:noProof/>
                <w:webHidden/>
              </w:rPr>
              <w:fldChar w:fldCharType="begin"/>
            </w:r>
            <w:r w:rsidR="00D17566">
              <w:rPr>
                <w:noProof/>
                <w:webHidden/>
              </w:rPr>
              <w:instrText xml:space="preserve"> PAGEREF _Toc369087007 \h </w:instrText>
            </w:r>
            <w:r w:rsidR="00D17566">
              <w:rPr>
                <w:noProof/>
                <w:webHidden/>
              </w:rPr>
            </w:r>
            <w:r w:rsidR="00D17566">
              <w:rPr>
                <w:noProof/>
                <w:webHidden/>
              </w:rPr>
              <w:fldChar w:fldCharType="separate"/>
            </w:r>
            <w:r w:rsidR="00AB601C">
              <w:rPr>
                <w:noProof/>
                <w:webHidden/>
              </w:rPr>
              <w:t>39</w:t>
            </w:r>
            <w:r w:rsidR="00D17566">
              <w:rPr>
                <w:noProof/>
                <w:webHidden/>
              </w:rPr>
              <w:fldChar w:fldCharType="end"/>
            </w:r>
          </w:hyperlink>
        </w:p>
        <w:p w:rsidR="00D17566" w:rsidRDefault="00645938">
          <w:pPr>
            <w:pStyle w:val="TOC3"/>
            <w:tabs>
              <w:tab w:val="right" w:leader="dot" w:pos="9350"/>
            </w:tabs>
            <w:rPr>
              <w:rFonts w:asciiTheme="minorHAnsi" w:eastAsiaTheme="minorEastAsia" w:hAnsiTheme="minorHAnsi" w:cstheme="minorBidi"/>
              <w:noProof/>
              <w:sz w:val="22"/>
              <w:szCs w:val="22"/>
            </w:rPr>
          </w:pPr>
          <w:hyperlink w:anchor="_Toc369087008" w:history="1">
            <w:r w:rsidR="00D17566" w:rsidRPr="00175CBC">
              <w:rPr>
                <w:rStyle w:val="Hyperlink"/>
                <w:noProof/>
              </w:rPr>
              <w:t>Utah</w:t>
            </w:r>
            <w:r w:rsidR="00D17566">
              <w:rPr>
                <w:noProof/>
                <w:webHidden/>
              </w:rPr>
              <w:tab/>
            </w:r>
            <w:r w:rsidR="00D17566">
              <w:rPr>
                <w:noProof/>
                <w:webHidden/>
              </w:rPr>
              <w:fldChar w:fldCharType="begin"/>
            </w:r>
            <w:r w:rsidR="00D17566">
              <w:rPr>
                <w:noProof/>
                <w:webHidden/>
              </w:rPr>
              <w:instrText xml:space="preserve"> PAGEREF _Toc369087008 \h </w:instrText>
            </w:r>
            <w:r w:rsidR="00D17566">
              <w:rPr>
                <w:noProof/>
                <w:webHidden/>
              </w:rPr>
            </w:r>
            <w:r w:rsidR="00D17566">
              <w:rPr>
                <w:noProof/>
                <w:webHidden/>
              </w:rPr>
              <w:fldChar w:fldCharType="separate"/>
            </w:r>
            <w:r w:rsidR="00AB601C">
              <w:rPr>
                <w:noProof/>
                <w:webHidden/>
              </w:rPr>
              <w:t>39</w:t>
            </w:r>
            <w:r w:rsidR="00D17566">
              <w:rPr>
                <w:noProof/>
                <w:webHidden/>
              </w:rPr>
              <w:fldChar w:fldCharType="end"/>
            </w:r>
          </w:hyperlink>
        </w:p>
        <w:p w:rsidR="00D17566" w:rsidRDefault="00645938">
          <w:pPr>
            <w:pStyle w:val="TOC3"/>
            <w:tabs>
              <w:tab w:val="right" w:leader="dot" w:pos="9350"/>
            </w:tabs>
            <w:rPr>
              <w:rFonts w:asciiTheme="minorHAnsi" w:eastAsiaTheme="minorEastAsia" w:hAnsiTheme="minorHAnsi" w:cstheme="minorBidi"/>
              <w:noProof/>
              <w:sz w:val="22"/>
              <w:szCs w:val="22"/>
            </w:rPr>
          </w:pPr>
          <w:hyperlink w:anchor="_Toc369087009" w:history="1">
            <w:r w:rsidR="00D17566" w:rsidRPr="00175CBC">
              <w:rPr>
                <w:rStyle w:val="Hyperlink"/>
                <w:noProof/>
              </w:rPr>
              <w:t>Wyoming</w:t>
            </w:r>
            <w:r w:rsidR="00D17566">
              <w:rPr>
                <w:noProof/>
                <w:webHidden/>
              </w:rPr>
              <w:tab/>
            </w:r>
            <w:r w:rsidR="00D17566">
              <w:rPr>
                <w:noProof/>
                <w:webHidden/>
              </w:rPr>
              <w:fldChar w:fldCharType="begin"/>
            </w:r>
            <w:r w:rsidR="00D17566">
              <w:rPr>
                <w:noProof/>
                <w:webHidden/>
              </w:rPr>
              <w:instrText xml:space="preserve"> PAGEREF _Toc369087009 \h </w:instrText>
            </w:r>
            <w:r w:rsidR="00D17566">
              <w:rPr>
                <w:noProof/>
                <w:webHidden/>
              </w:rPr>
            </w:r>
            <w:r w:rsidR="00D17566">
              <w:rPr>
                <w:noProof/>
                <w:webHidden/>
              </w:rPr>
              <w:fldChar w:fldCharType="separate"/>
            </w:r>
            <w:r w:rsidR="00AB601C">
              <w:rPr>
                <w:noProof/>
                <w:webHidden/>
              </w:rPr>
              <w:t>40</w:t>
            </w:r>
            <w:r w:rsidR="00D17566">
              <w:rPr>
                <w:noProof/>
                <w:webHidden/>
              </w:rPr>
              <w:fldChar w:fldCharType="end"/>
            </w:r>
          </w:hyperlink>
        </w:p>
        <w:p w:rsidR="00D17566" w:rsidRDefault="00645938">
          <w:pPr>
            <w:pStyle w:val="TOC2"/>
            <w:tabs>
              <w:tab w:val="right" w:leader="dot" w:pos="9350"/>
            </w:tabs>
            <w:rPr>
              <w:rStyle w:val="Hyperlink"/>
              <w:noProof/>
            </w:rPr>
          </w:pPr>
          <w:hyperlink w:anchor="_Toc369087010" w:history="1">
            <w:r w:rsidR="00D17566" w:rsidRPr="00175CBC">
              <w:rPr>
                <w:rStyle w:val="Hyperlink"/>
                <w:noProof/>
              </w:rPr>
              <w:t>b.  Potential Overlap with Federal O&amp;G Rules</w:t>
            </w:r>
            <w:r w:rsidR="00D17566">
              <w:rPr>
                <w:noProof/>
                <w:webHidden/>
              </w:rPr>
              <w:tab/>
            </w:r>
            <w:r w:rsidR="00D17566">
              <w:rPr>
                <w:noProof/>
                <w:webHidden/>
              </w:rPr>
              <w:fldChar w:fldCharType="begin"/>
            </w:r>
            <w:r w:rsidR="00D17566">
              <w:rPr>
                <w:noProof/>
                <w:webHidden/>
              </w:rPr>
              <w:instrText xml:space="preserve"> PAGEREF _Toc369087010 \h </w:instrText>
            </w:r>
            <w:r w:rsidR="00D17566">
              <w:rPr>
                <w:noProof/>
                <w:webHidden/>
              </w:rPr>
            </w:r>
            <w:r w:rsidR="00D17566">
              <w:rPr>
                <w:noProof/>
                <w:webHidden/>
              </w:rPr>
              <w:fldChar w:fldCharType="separate"/>
            </w:r>
            <w:r w:rsidR="00AB601C">
              <w:rPr>
                <w:noProof/>
                <w:webHidden/>
              </w:rPr>
              <w:t>42</w:t>
            </w:r>
            <w:r w:rsidR="00D17566">
              <w:rPr>
                <w:noProof/>
                <w:webHidden/>
              </w:rPr>
              <w:fldChar w:fldCharType="end"/>
            </w:r>
          </w:hyperlink>
        </w:p>
        <w:p w:rsidR="00D17566" w:rsidRPr="00D17566" w:rsidRDefault="00D17566" w:rsidP="00D17566">
          <w:pPr>
            <w:rPr>
              <w:rFonts w:eastAsiaTheme="minorEastAsia"/>
              <w:noProof/>
            </w:rPr>
          </w:pPr>
        </w:p>
        <w:p w:rsidR="00D17566" w:rsidRDefault="00645938">
          <w:pPr>
            <w:pStyle w:val="TOC1"/>
            <w:tabs>
              <w:tab w:val="right" w:leader="dot" w:pos="9350"/>
            </w:tabs>
            <w:rPr>
              <w:rFonts w:asciiTheme="minorHAnsi" w:eastAsiaTheme="minorEastAsia" w:hAnsiTheme="minorHAnsi" w:cstheme="minorBidi"/>
              <w:noProof/>
              <w:sz w:val="22"/>
              <w:szCs w:val="22"/>
            </w:rPr>
          </w:pPr>
          <w:hyperlink w:anchor="_Toc369087011" w:history="1">
            <w:r w:rsidR="00D17566" w:rsidRPr="00175CBC">
              <w:rPr>
                <w:rStyle w:val="Hyperlink"/>
                <w:noProof/>
              </w:rPr>
              <w:t>5.  WRAP PHASE III OIL AND NATURAL GAS EMISSION INVENTORIES</w:t>
            </w:r>
            <w:r w:rsidR="00D17566">
              <w:rPr>
                <w:noProof/>
                <w:webHidden/>
              </w:rPr>
              <w:tab/>
            </w:r>
            <w:r w:rsidR="00D17566">
              <w:rPr>
                <w:noProof/>
                <w:webHidden/>
              </w:rPr>
              <w:fldChar w:fldCharType="begin"/>
            </w:r>
            <w:r w:rsidR="00D17566">
              <w:rPr>
                <w:noProof/>
                <w:webHidden/>
              </w:rPr>
              <w:instrText xml:space="preserve"> PAGEREF _Toc369087011 \h </w:instrText>
            </w:r>
            <w:r w:rsidR="00D17566">
              <w:rPr>
                <w:noProof/>
                <w:webHidden/>
              </w:rPr>
            </w:r>
            <w:r w:rsidR="00D17566">
              <w:rPr>
                <w:noProof/>
                <w:webHidden/>
              </w:rPr>
              <w:fldChar w:fldCharType="separate"/>
            </w:r>
            <w:r w:rsidR="00AB601C">
              <w:rPr>
                <w:noProof/>
                <w:webHidden/>
              </w:rPr>
              <w:t>42</w:t>
            </w:r>
            <w:r w:rsidR="00D17566">
              <w:rPr>
                <w:noProof/>
                <w:webHidden/>
              </w:rPr>
              <w:fldChar w:fldCharType="end"/>
            </w:r>
          </w:hyperlink>
        </w:p>
        <w:p w:rsidR="00D17566" w:rsidRDefault="00645938">
          <w:pPr>
            <w:pStyle w:val="TOC4"/>
            <w:tabs>
              <w:tab w:val="right" w:leader="dot" w:pos="9350"/>
            </w:tabs>
            <w:rPr>
              <w:rStyle w:val="Hyperlink"/>
              <w:noProof/>
            </w:rPr>
          </w:pPr>
          <w:hyperlink w:anchor="_Toc369087012" w:history="1">
            <w:r w:rsidR="00D17566" w:rsidRPr="00175CBC">
              <w:rPr>
                <w:rStyle w:val="Hyperlink"/>
                <w:noProof/>
              </w:rPr>
              <w:t>Figure 1</w:t>
            </w:r>
            <w:r w:rsidR="00D17566">
              <w:rPr>
                <w:rStyle w:val="Hyperlink"/>
                <w:noProof/>
              </w:rPr>
              <w:t>:</w:t>
            </w:r>
            <w:r w:rsidR="00D17566" w:rsidRPr="00175CBC">
              <w:rPr>
                <w:rStyle w:val="Hyperlink"/>
                <w:noProof/>
              </w:rPr>
              <w:t xml:space="preserve"> O&amp;G Basins included in the original Scope of the Phase III project.</w:t>
            </w:r>
            <w:r w:rsidR="00D17566">
              <w:rPr>
                <w:noProof/>
                <w:webHidden/>
              </w:rPr>
              <w:tab/>
            </w:r>
            <w:r w:rsidR="00D17566">
              <w:rPr>
                <w:noProof/>
                <w:webHidden/>
              </w:rPr>
              <w:fldChar w:fldCharType="begin"/>
            </w:r>
            <w:r w:rsidR="00D17566">
              <w:rPr>
                <w:noProof/>
                <w:webHidden/>
              </w:rPr>
              <w:instrText xml:space="preserve"> PAGEREF _Toc369087012 \h </w:instrText>
            </w:r>
            <w:r w:rsidR="00D17566">
              <w:rPr>
                <w:noProof/>
                <w:webHidden/>
              </w:rPr>
            </w:r>
            <w:r w:rsidR="00D17566">
              <w:rPr>
                <w:noProof/>
                <w:webHidden/>
              </w:rPr>
              <w:fldChar w:fldCharType="separate"/>
            </w:r>
            <w:r w:rsidR="00AB601C">
              <w:rPr>
                <w:noProof/>
                <w:webHidden/>
              </w:rPr>
              <w:t>43</w:t>
            </w:r>
            <w:r w:rsidR="00D17566">
              <w:rPr>
                <w:noProof/>
                <w:webHidden/>
              </w:rPr>
              <w:fldChar w:fldCharType="end"/>
            </w:r>
          </w:hyperlink>
        </w:p>
        <w:p w:rsidR="00D17566" w:rsidRPr="00D17566" w:rsidRDefault="00D17566" w:rsidP="00D17566">
          <w:pPr>
            <w:rPr>
              <w:rFonts w:eastAsiaTheme="minorEastAsia"/>
              <w:noProof/>
            </w:rPr>
          </w:pPr>
        </w:p>
        <w:p w:rsidR="00D17566" w:rsidRDefault="00645938">
          <w:pPr>
            <w:pStyle w:val="TOC2"/>
            <w:tabs>
              <w:tab w:val="right" w:leader="dot" w:pos="9350"/>
            </w:tabs>
            <w:rPr>
              <w:rFonts w:asciiTheme="minorHAnsi" w:eastAsiaTheme="minorEastAsia" w:hAnsiTheme="minorHAnsi" w:cstheme="minorBidi"/>
              <w:noProof/>
              <w:sz w:val="22"/>
              <w:szCs w:val="22"/>
            </w:rPr>
          </w:pPr>
          <w:hyperlink w:anchor="_Toc369087013" w:history="1">
            <w:r w:rsidR="00D17566" w:rsidRPr="00175CBC">
              <w:rPr>
                <w:rStyle w:val="Hyperlink"/>
                <w:noProof/>
              </w:rPr>
              <w:t>WRAP Phase III O&amp;G Basin Emissions – 2006 Baseline Data</w:t>
            </w:r>
            <w:r w:rsidR="00D17566">
              <w:rPr>
                <w:noProof/>
                <w:webHidden/>
              </w:rPr>
              <w:tab/>
            </w:r>
            <w:r w:rsidR="00D17566">
              <w:rPr>
                <w:noProof/>
                <w:webHidden/>
              </w:rPr>
              <w:fldChar w:fldCharType="begin"/>
            </w:r>
            <w:r w:rsidR="00D17566">
              <w:rPr>
                <w:noProof/>
                <w:webHidden/>
              </w:rPr>
              <w:instrText xml:space="preserve"> PAGEREF _Toc369087013 \h </w:instrText>
            </w:r>
            <w:r w:rsidR="00D17566">
              <w:rPr>
                <w:noProof/>
                <w:webHidden/>
              </w:rPr>
            </w:r>
            <w:r w:rsidR="00D17566">
              <w:rPr>
                <w:noProof/>
                <w:webHidden/>
              </w:rPr>
              <w:fldChar w:fldCharType="separate"/>
            </w:r>
            <w:r w:rsidR="00AB601C">
              <w:rPr>
                <w:noProof/>
                <w:webHidden/>
              </w:rPr>
              <w:t>45</w:t>
            </w:r>
            <w:r w:rsidR="00D17566">
              <w:rPr>
                <w:noProof/>
                <w:webHidden/>
              </w:rPr>
              <w:fldChar w:fldCharType="end"/>
            </w:r>
          </w:hyperlink>
        </w:p>
        <w:p w:rsidR="00D17566" w:rsidRDefault="00645938">
          <w:pPr>
            <w:pStyle w:val="TOC4"/>
            <w:tabs>
              <w:tab w:val="right" w:leader="dot" w:pos="9350"/>
            </w:tabs>
            <w:rPr>
              <w:rStyle w:val="Hyperlink"/>
              <w:noProof/>
            </w:rPr>
          </w:pPr>
          <w:hyperlink w:anchor="_Toc369087014" w:history="1">
            <w:r w:rsidR="00D17566" w:rsidRPr="00175CBC">
              <w:rPr>
                <w:rStyle w:val="Hyperlink"/>
                <w:noProof/>
              </w:rPr>
              <w:t>Table 4:  Phase III Basin 2006 Overall Emissions Totals</w:t>
            </w:r>
            <w:r w:rsidR="00D17566">
              <w:rPr>
                <w:noProof/>
                <w:webHidden/>
              </w:rPr>
              <w:tab/>
            </w:r>
            <w:r w:rsidR="00D17566">
              <w:rPr>
                <w:noProof/>
                <w:webHidden/>
              </w:rPr>
              <w:fldChar w:fldCharType="begin"/>
            </w:r>
            <w:r w:rsidR="00D17566">
              <w:rPr>
                <w:noProof/>
                <w:webHidden/>
              </w:rPr>
              <w:instrText xml:space="preserve"> PAGEREF _Toc369087014 \h </w:instrText>
            </w:r>
            <w:r w:rsidR="00D17566">
              <w:rPr>
                <w:noProof/>
                <w:webHidden/>
              </w:rPr>
            </w:r>
            <w:r w:rsidR="00D17566">
              <w:rPr>
                <w:noProof/>
                <w:webHidden/>
              </w:rPr>
              <w:fldChar w:fldCharType="separate"/>
            </w:r>
            <w:r w:rsidR="00AB601C">
              <w:rPr>
                <w:noProof/>
                <w:webHidden/>
              </w:rPr>
              <w:t>45</w:t>
            </w:r>
            <w:r w:rsidR="00D17566">
              <w:rPr>
                <w:noProof/>
                <w:webHidden/>
              </w:rPr>
              <w:fldChar w:fldCharType="end"/>
            </w:r>
          </w:hyperlink>
        </w:p>
        <w:p w:rsidR="00D17566" w:rsidRDefault="00D17566" w:rsidP="00D17566">
          <w:pPr>
            <w:rPr>
              <w:rFonts w:eastAsiaTheme="minorEastAsia"/>
              <w:noProof/>
            </w:rPr>
          </w:pPr>
        </w:p>
        <w:p w:rsidR="00D17566" w:rsidRDefault="00645938" w:rsidP="00D17566">
          <w:pPr>
            <w:pStyle w:val="TOC3"/>
            <w:tabs>
              <w:tab w:val="right" w:leader="dot" w:pos="9350"/>
            </w:tabs>
            <w:rPr>
              <w:rFonts w:asciiTheme="minorHAnsi" w:eastAsiaTheme="minorEastAsia" w:hAnsiTheme="minorHAnsi" w:cstheme="minorBidi"/>
              <w:noProof/>
              <w:sz w:val="22"/>
              <w:szCs w:val="22"/>
            </w:rPr>
          </w:pPr>
          <w:hyperlink w:anchor="_Toc369087018" w:history="1">
            <w:r w:rsidR="00D17566">
              <w:rPr>
                <w:rStyle w:val="Hyperlink"/>
                <w:noProof/>
              </w:rPr>
              <w:t>Denver-Julesburg</w:t>
            </w:r>
            <w:r w:rsidR="00D17566" w:rsidRPr="00175CBC">
              <w:rPr>
                <w:rStyle w:val="Hyperlink"/>
                <w:noProof/>
              </w:rPr>
              <w:t xml:space="preserve"> Basin 2006 Emissions</w:t>
            </w:r>
            <w:r w:rsidR="00D17566">
              <w:rPr>
                <w:noProof/>
                <w:webHidden/>
              </w:rPr>
              <w:tab/>
            </w:r>
            <w:r w:rsidR="00D17566">
              <w:rPr>
                <w:noProof/>
                <w:webHidden/>
              </w:rPr>
              <w:fldChar w:fldCharType="begin"/>
            </w:r>
            <w:r w:rsidR="00D17566">
              <w:rPr>
                <w:noProof/>
                <w:webHidden/>
              </w:rPr>
              <w:instrText xml:space="preserve"> PAGEREF _Toc369087018 \h </w:instrText>
            </w:r>
            <w:r w:rsidR="00D17566">
              <w:rPr>
                <w:noProof/>
                <w:webHidden/>
              </w:rPr>
            </w:r>
            <w:r w:rsidR="00D17566">
              <w:rPr>
                <w:noProof/>
                <w:webHidden/>
              </w:rPr>
              <w:fldChar w:fldCharType="separate"/>
            </w:r>
            <w:r w:rsidR="00AB601C">
              <w:rPr>
                <w:noProof/>
                <w:webHidden/>
              </w:rPr>
              <w:t>46</w:t>
            </w:r>
            <w:r w:rsidR="00D17566">
              <w:rPr>
                <w:noProof/>
                <w:webHidden/>
              </w:rPr>
              <w:fldChar w:fldCharType="end"/>
            </w:r>
          </w:hyperlink>
        </w:p>
        <w:p w:rsidR="00D17566" w:rsidRDefault="00645938">
          <w:pPr>
            <w:pStyle w:val="TOC4"/>
            <w:tabs>
              <w:tab w:val="right" w:leader="dot" w:pos="9350"/>
            </w:tabs>
            <w:rPr>
              <w:rFonts w:asciiTheme="minorHAnsi" w:eastAsiaTheme="minorEastAsia" w:hAnsiTheme="minorHAnsi" w:cstheme="minorBidi"/>
              <w:noProof/>
              <w:sz w:val="22"/>
              <w:szCs w:val="22"/>
            </w:rPr>
          </w:pPr>
          <w:hyperlink w:anchor="_Toc369087015" w:history="1">
            <w:r w:rsidR="00D17566" w:rsidRPr="00175CBC">
              <w:rPr>
                <w:rStyle w:val="Hyperlink"/>
                <w:noProof/>
              </w:rPr>
              <w:t>Figure 2:  D-J Basin Boundaries Overlaid With 2006 Oil and Gas Well Locations</w:t>
            </w:r>
            <w:r w:rsidR="00D17566">
              <w:rPr>
                <w:noProof/>
                <w:webHidden/>
              </w:rPr>
              <w:tab/>
            </w:r>
            <w:r w:rsidR="00D17566">
              <w:rPr>
                <w:noProof/>
                <w:webHidden/>
              </w:rPr>
              <w:fldChar w:fldCharType="begin"/>
            </w:r>
            <w:r w:rsidR="00D17566">
              <w:rPr>
                <w:noProof/>
                <w:webHidden/>
              </w:rPr>
              <w:instrText xml:space="preserve"> PAGEREF _Toc369087015 \h </w:instrText>
            </w:r>
            <w:r w:rsidR="00D17566">
              <w:rPr>
                <w:noProof/>
                <w:webHidden/>
              </w:rPr>
            </w:r>
            <w:r w:rsidR="00D17566">
              <w:rPr>
                <w:noProof/>
                <w:webHidden/>
              </w:rPr>
              <w:fldChar w:fldCharType="separate"/>
            </w:r>
            <w:r w:rsidR="00AB601C">
              <w:rPr>
                <w:noProof/>
                <w:webHidden/>
              </w:rPr>
              <w:t>46</w:t>
            </w:r>
            <w:r w:rsidR="00D17566">
              <w:rPr>
                <w:noProof/>
                <w:webHidden/>
              </w:rPr>
              <w:fldChar w:fldCharType="end"/>
            </w:r>
          </w:hyperlink>
        </w:p>
        <w:p w:rsidR="00D17566" w:rsidRDefault="00645938">
          <w:pPr>
            <w:pStyle w:val="TOC4"/>
            <w:tabs>
              <w:tab w:val="right" w:leader="dot" w:pos="9350"/>
            </w:tabs>
            <w:rPr>
              <w:rFonts w:asciiTheme="minorHAnsi" w:eastAsiaTheme="minorEastAsia" w:hAnsiTheme="minorHAnsi" w:cstheme="minorBidi"/>
              <w:noProof/>
              <w:sz w:val="22"/>
              <w:szCs w:val="22"/>
            </w:rPr>
          </w:pPr>
          <w:hyperlink w:anchor="_Toc369087016" w:history="1">
            <w:r w:rsidR="00D17566" w:rsidRPr="00175CBC">
              <w:rPr>
                <w:rStyle w:val="Hyperlink"/>
                <w:noProof/>
              </w:rPr>
              <w:t>Table 5: Denver-Julesburg Basin 2006 NOx Emission Sources (tpy)</w:t>
            </w:r>
            <w:r w:rsidR="00D17566">
              <w:rPr>
                <w:noProof/>
                <w:webHidden/>
              </w:rPr>
              <w:tab/>
            </w:r>
            <w:r w:rsidR="00D17566">
              <w:rPr>
                <w:noProof/>
                <w:webHidden/>
              </w:rPr>
              <w:fldChar w:fldCharType="begin"/>
            </w:r>
            <w:r w:rsidR="00D17566">
              <w:rPr>
                <w:noProof/>
                <w:webHidden/>
              </w:rPr>
              <w:instrText xml:space="preserve"> PAGEREF _Toc369087016 \h </w:instrText>
            </w:r>
            <w:r w:rsidR="00D17566">
              <w:rPr>
                <w:noProof/>
                <w:webHidden/>
              </w:rPr>
            </w:r>
            <w:r w:rsidR="00D17566">
              <w:rPr>
                <w:noProof/>
                <w:webHidden/>
              </w:rPr>
              <w:fldChar w:fldCharType="separate"/>
            </w:r>
            <w:r w:rsidR="00AB601C">
              <w:rPr>
                <w:noProof/>
                <w:webHidden/>
              </w:rPr>
              <w:t>47</w:t>
            </w:r>
            <w:r w:rsidR="00D17566">
              <w:rPr>
                <w:noProof/>
                <w:webHidden/>
              </w:rPr>
              <w:fldChar w:fldCharType="end"/>
            </w:r>
          </w:hyperlink>
        </w:p>
        <w:p w:rsidR="00D17566" w:rsidRDefault="00645938">
          <w:pPr>
            <w:pStyle w:val="TOC4"/>
            <w:tabs>
              <w:tab w:val="right" w:leader="dot" w:pos="9350"/>
            </w:tabs>
            <w:rPr>
              <w:rStyle w:val="Hyperlink"/>
              <w:noProof/>
            </w:rPr>
          </w:pPr>
          <w:hyperlink w:anchor="_Toc369087017" w:history="1">
            <w:r w:rsidR="00D17566" w:rsidRPr="00175CBC">
              <w:rPr>
                <w:rStyle w:val="Hyperlink"/>
                <w:noProof/>
              </w:rPr>
              <w:t>Table 6: Denver-Julesburg Basin 2006 VOC Emission Sources (tpy)</w:t>
            </w:r>
            <w:r w:rsidR="00D17566">
              <w:rPr>
                <w:noProof/>
                <w:webHidden/>
              </w:rPr>
              <w:tab/>
            </w:r>
            <w:r w:rsidR="00D17566">
              <w:rPr>
                <w:noProof/>
                <w:webHidden/>
              </w:rPr>
              <w:fldChar w:fldCharType="begin"/>
            </w:r>
            <w:r w:rsidR="00D17566">
              <w:rPr>
                <w:noProof/>
                <w:webHidden/>
              </w:rPr>
              <w:instrText xml:space="preserve"> PAGEREF _Toc369087017 \h </w:instrText>
            </w:r>
            <w:r w:rsidR="00D17566">
              <w:rPr>
                <w:noProof/>
                <w:webHidden/>
              </w:rPr>
            </w:r>
            <w:r w:rsidR="00D17566">
              <w:rPr>
                <w:noProof/>
                <w:webHidden/>
              </w:rPr>
              <w:fldChar w:fldCharType="separate"/>
            </w:r>
            <w:r w:rsidR="00AB601C">
              <w:rPr>
                <w:noProof/>
                <w:webHidden/>
              </w:rPr>
              <w:t>47</w:t>
            </w:r>
            <w:r w:rsidR="00D17566">
              <w:rPr>
                <w:noProof/>
                <w:webHidden/>
              </w:rPr>
              <w:fldChar w:fldCharType="end"/>
            </w:r>
          </w:hyperlink>
        </w:p>
        <w:p w:rsidR="00D17566" w:rsidRPr="00D17566" w:rsidRDefault="00D17566" w:rsidP="00D17566">
          <w:pPr>
            <w:rPr>
              <w:rFonts w:eastAsiaTheme="minorEastAsia"/>
              <w:noProof/>
            </w:rPr>
          </w:pPr>
        </w:p>
        <w:p w:rsidR="00D17566" w:rsidRDefault="00645938">
          <w:pPr>
            <w:pStyle w:val="TOC3"/>
            <w:tabs>
              <w:tab w:val="right" w:leader="dot" w:pos="9350"/>
            </w:tabs>
            <w:rPr>
              <w:rFonts w:asciiTheme="minorHAnsi" w:eastAsiaTheme="minorEastAsia" w:hAnsiTheme="minorHAnsi" w:cstheme="minorBidi"/>
              <w:noProof/>
              <w:sz w:val="22"/>
              <w:szCs w:val="22"/>
            </w:rPr>
          </w:pPr>
          <w:hyperlink w:anchor="_Toc369087018" w:history="1">
            <w:r w:rsidR="00D17566" w:rsidRPr="00175CBC">
              <w:rPr>
                <w:rStyle w:val="Hyperlink"/>
                <w:noProof/>
              </w:rPr>
              <w:t>Uinta Basin 2006 Emissions</w:t>
            </w:r>
            <w:r w:rsidR="00D17566">
              <w:rPr>
                <w:noProof/>
                <w:webHidden/>
              </w:rPr>
              <w:tab/>
            </w:r>
            <w:r w:rsidR="00D17566">
              <w:rPr>
                <w:noProof/>
                <w:webHidden/>
              </w:rPr>
              <w:fldChar w:fldCharType="begin"/>
            </w:r>
            <w:r w:rsidR="00D17566">
              <w:rPr>
                <w:noProof/>
                <w:webHidden/>
              </w:rPr>
              <w:instrText xml:space="preserve"> PAGEREF _Toc369087018 \h </w:instrText>
            </w:r>
            <w:r w:rsidR="00D17566">
              <w:rPr>
                <w:noProof/>
                <w:webHidden/>
              </w:rPr>
            </w:r>
            <w:r w:rsidR="00D17566">
              <w:rPr>
                <w:noProof/>
                <w:webHidden/>
              </w:rPr>
              <w:fldChar w:fldCharType="separate"/>
            </w:r>
            <w:r w:rsidR="00AB601C">
              <w:rPr>
                <w:noProof/>
                <w:webHidden/>
              </w:rPr>
              <w:t>49</w:t>
            </w:r>
            <w:r w:rsidR="00D17566">
              <w:rPr>
                <w:noProof/>
                <w:webHidden/>
              </w:rPr>
              <w:fldChar w:fldCharType="end"/>
            </w:r>
          </w:hyperlink>
        </w:p>
        <w:p w:rsidR="00D17566" w:rsidRDefault="00645938">
          <w:pPr>
            <w:pStyle w:val="TOC4"/>
            <w:tabs>
              <w:tab w:val="right" w:leader="dot" w:pos="9350"/>
            </w:tabs>
            <w:rPr>
              <w:rFonts w:asciiTheme="minorHAnsi" w:eastAsiaTheme="minorEastAsia" w:hAnsiTheme="minorHAnsi" w:cstheme="minorBidi"/>
              <w:noProof/>
              <w:sz w:val="22"/>
              <w:szCs w:val="22"/>
            </w:rPr>
          </w:pPr>
          <w:hyperlink w:anchor="_Toc369087019" w:history="1">
            <w:r w:rsidR="00D17566" w:rsidRPr="00175CBC">
              <w:rPr>
                <w:rStyle w:val="Hyperlink"/>
                <w:noProof/>
              </w:rPr>
              <w:t>Figure 3: Uinta Basin Boundaries Overlaid With 2006 Oil and Gas Well Locations</w:t>
            </w:r>
            <w:r w:rsidR="00D17566">
              <w:rPr>
                <w:noProof/>
                <w:webHidden/>
              </w:rPr>
              <w:tab/>
            </w:r>
            <w:r w:rsidR="00D17566">
              <w:rPr>
                <w:noProof/>
                <w:webHidden/>
              </w:rPr>
              <w:fldChar w:fldCharType="begin"/>
            </w:r>
            <w:r w:rsidR="00D17566">
              <w:rPr>
                <w:noProof/>
                <w:webHidden/>
              </w:rPr>
              <w:instrText xml:space="preserve"> PAGEREF _Toc369087019 \h </w:instrText>
            </w:r>
            <w:r w:rsidR="00D17566">
              <w:rPr>
                <w:noProof/>
                <w:webHidden/>
              </w:rPr>
            </w:r>
            <w:r w:rsidR="00D17566">
              <w:rPr>
                <w:noProof/>
                <w:webHidden/>
              </w:rPr>
              <w:fldChar w:fldCharType="separate"/>
            </w:r>
            <w:r w:rsidR="00AB601C">
              <w:rPr>
                <w:noProof/>
                <w:webHidden/>
              </w:rPr>
              <w:t>49</w:t>
            </w:r>
            <w:r w:rsidR="00D17566">
              <w:rPr>
                <w:noProof/>
                <w:webHidden/>
              </w:rPr>
              <w:fldChar w:fldCharType="end"/>
            </w:r>
          </w:hyperlink>
        </w:p>
        <w:p w:rsidR="00D17566" w:rsidRDefault="00645938">
          <w:pPr>
            <w:pStyle w:val="TOC4"/>
            <w:tabs>
              <w:tab w:val="right" w:leader="dot" w:pos="9350"/>
            </w:tabs>
            <w:rPr>
              <w:rFonts w:asciiTheme="minorHAnsi" w:eastAsiaTheme="minorEastAsia" w:hAnsiTheme="minorHAnsi" w:cstheme="minorBidi"/>
              <w:noProof/>
              <w:sz w:val="22"/>
              <w:szCs w:val="22"/>
            </w:rPr>
          </w:pPr>
          <w:hyperlink w:anchor="_Toc369087020" w:history="1">
            <w:r w:rsidR="00D17566" w:rsidRPr="00175CBC">
              <w:rPr>
                <w:rStyle w:val="Hyperlink"/>
                <w:noProof/>
              </w:rPr>
              <w:t>Table 7: Uinta Basin 2006 NOx Emission Sources (tpy)</w:t>
            </w:r>
            <w:r w:rsidR="00D17566">
              <w:rPr>
                <w:noProof/>
                <w:webHidden/>
              </w:rPr>
              <w:tab/>
            </w:r>
            <w:r w:rsidR="00D17566">
              <w:rPr>
                <w:noProof/>
                <w:webHidden/>
              </w:rPr>
              <w:fldChar w:fldCharType="begin"/>
            </w:r>
            <w:r w:rsidR="00D17566">
              <w:rPr>
                <w:noProof/>
                <w:webHidden/>
              </w:rPr>
              <w:instrText xml:space="preserve"> PAGEREF _Toc369087020 \h </w:instrText>
            </w:r>
            <w:r w:rsidR="00D17566">
              <w:rPr>
                <w:noProof/>
                <w:webHidden/>
              </w:rPr>
            </w:r>
            <w:r w:rsidR="00D17566">
              <w:rPr>
                <w:noProof/>
                <w:webHidden/>
              </w:rPr>
              <w:fldChar w:fldCharType="separate"/>
            </w:r>
            <w:r w:rsidR="00AB601C">
              <w:rPr>
                <w:noProof/>
                <w:webHidden/>
              </w:rPr>
              <w:t>50</w:t>
            </w:r>
            <w:r w:rsidR="00D17566">
              <w:rPr>
                <w:noProof/>
                <w:webHidden/>
              </w:rPr>
              <w:fldChar w:fldCharType="end"/>
            </w:r>
          </w:hyperlink>
        </w:p>
        <w:p w:rsidR="00D17566" w:rsidRDefault="00645938">
          <w:pPr>
            <w:pStyle w:val="TOC4"/>
            <w:tabs>
              <w:tab w:val="right" w:leader="dot" w:pos="9350"/>
            </w:tabs>
            <w:rPr>
              <w:rStyle w:val="Hyperlink"/>
              <w:noProof/>
            </w:rPr>
          </w:pPr>
          <w:hyperlink w:anchor="_Toc369087021" w:history="1">
            <w:r w:rsidR="00D17566" w:rsidRPr="00175CBC">
              <w:rPr>
                <w:rStyle w:val="Hyperlink"/>
                <w:noProof/>
              </w:rPr>
              <w:t>Table 8: Uinta Basin 2006 VOC Emission Sources (tpy)</w:t>
            </w:r>
            <w:r w:rsidR="00D17566">
              <w:rPr>
                <w:noProof/>
                <w:webHidden/>
              </w:rPr>
              <w:tab/>
            </w:r>
            <w:r w:rsidR="00D17566">
              <w:rPr>
                <w:noProof/>
                <w:webHidden/>
              </w:rPr>
              <w:fldChar w:fldCharType="begin"/>
            </w:r>
            <w:r w:rsidR="00D17566">
              <w:rPr>
                <w:noProof/>
                <w:webHidden/>
              </w:rPr>
              <w:instrText xml:space="preserve"> PAGEREF _Toc369087021 \h </w:instrText>
            </w:r>
            <w:r w:rsidR="00D17566">
              <w:rPr>
                <w:noProof/>
                <w:webHidden/>
              </w:rPr>
            </w:r>
            <w:r w:rsidR="00D17566">
              <w:rPr>
                <w:noProof/>
                <w:webHidden/>
              </w:rPr>
              <w:fldChar w:fldCharType="separate"/>
            </w:r>
            <w:r w:rsidR="00AB601C">
              <w:rPr>
                <w:noProof/>
                <w:webHidden/>
              </w:rPr>
              <w:t>51</w:t>
            </w:r>
            <w:r w:rsidR="00D17566">
              <w:rPr>
                <w:noProof/>
                <w:webHidden/>
              </w:rPr>
              <w:fldChar w:fldCharType="end"/>
            </w:r>
          </w:hyperlink>
        </w:p>
        <w:p w:rsidR="00D17566" w:rsidRPr="00D17566" w:rsidRDefault="00D17566" w:rsidP="00D17566">
          <w:pPr>
            <w:rPr>
              <w:rFonts w:eastAsiaTheme="minorEastAsia"/>
              <w:noProof/>
            </w:rPr>
          </w:pPr>
        </w:p>
        <w:p w:rsidR="00D17566" w:rsidRDefault="00645938">
          <w:pPr>
            <w:pStyle w:val="TOC3"/>
            <w:tabs>
              <w:tab w:val="right" w:leader="dot" w:pos="9350"/>
            </w:tabs>
            <w:rPr>
              <w:rFonts w:asciiTheme="minorHAnsi" w:eastAsiaTheme="minorEastAsia" w:hAnsiTheme="minorHAnsi" w:cstheme="minorBidi"/>
              <w:noProof/>
              <w:sz w:val="22"/>
              <w:szCs w:val="22"/>
            </w:rPr>
          </w:pPr>
          <w:hyperlink w:anchor="_Toc369087022" w:history="1">
            <w:r w:rsidR="00D17566" w:rsidRPr="00175CBC">
              <w:rPr>
                <w:rStyle w:val="Hyperlink"/>
                <w:noProof/>
              </w:rPr>
              <w:t>Piceance Basin 2006 Emissions</w:t>
            </w:r>
            <w:r w:rsidR="00D17566">
              <w:rPr>
                <w:noProof/>
                <w:webHidden/>
              </w:rPr>
              <w:tab/>
            </w:r>
            <w:r w:rsidR="00D17566">
              <w:rPr>
                <w:noProof/>
                <w:webHidden/>
              </w:rPr>
              <w:fldChar w:fldCharType="begin"/>
            </w:r>
            <w:r w:rsidR="00D17566">
              <w:rPr>
                <w:noProof/>
                <w:webHidden/>
              </w:rPr>
              <w:instrText xml:space="preserve"> PAGEREF _Toc369087022 \h </w:instrText>
            </w:r>
            <w:r w:rsidR="00D17566">
              <w:rPr>
                <w:noProof/>
                <w:webHidden/>
              </w:rPr>
            </w:r>
            <w:r w:rsidR="00D17566">
              <w:rPr>
                <w:noProof/>
                <w:webHidden/>
              </w:rPr>
              <w:fldChar w:fldCharType="separate"/>
            </w:r>
            <w:r w:rsidR="00AB601C">
              <w:rPr>
                <w:noProof/>
                <w:webHidden/>
              </w:rPr>
              <w:t>53</w:t>
            </w:r>
            <w:r w:rsidR="00D17566">
              <w:rPr>
                <w:noProof/>
                <w:webHidden/>
              </w:rPr>
              <w:fldChar w:fldCharType="end"/>
            </w:r>
          </w:hyperlink>
        </w:p>
        <w:p w:rsidR="00D17566" w:rsidRDefault="00645938">
          <w:pPr>
            <w:pStyle w:val="TOC4"/>
            <w:tabs>
              <w:tab w:val="right" w:leader="dot" w:pos="9350"/>
            </w:tabs>
            <w:rPr>
              <w:rFonts w:asciiTheme="minorHAnsi" w:eastAsiaTheme="minorEastAsia" w:hAnsiTheme="minorHAnsi" w:cstheme="minorBidi"/>
              <w:noProof/>
              <w:sz w:val="22"/>
              <w:szCs w:val="22"/>
            </w:rPr>
          </w:pPr>
          <w:hyperlink w:anchor="_Toc369087023" w:history="1">
            <w:r w:rsidR="00D17566" w:rsidRPr="00175CBC">
              <w:rPr>
                <w:rStyle w:val="Hyperlink"/>
                <w:noProof/>
              </w:rPr>
              <w:t>Figure 4: Piceance Basin Boundaries Overlaid With 2006 Oil and Gas Well Locations</w:t>
            </w:r>
            <w:r w:rsidR="00D17566">
              <w:rPr>
                <w:noProof/>
                <w:webHidden/>
              </w:rPr>
              <w:tab/>
            </w:r>
            <w:r w:rsidR="00D17566">
              <w:rPr>
                <w:noProof/>
                <w:webHidden/>
              </w:rPr>
              <w:fldChar w:fldCharType="begin"/>
            </w:r>
            <w:r w:rsidR="00D17566">
              <w:rPr>
                <w:noProof/>
                <w:webHidden/>
              </w:rPr>
              <w:instrText xml:space="preserve"> PAGEREF _Toc369087023 \h </w:instrText>
            </w:r>
            <w:r w:rsidR="00D17566">
              <w:rPr>
                <w:noProof/>
                <w:webHidden/>
              </w:rPr>
            </w:r>
            <w:r w:rsidR="00D17566">
              <w:rPr>
                <w:noProof/>
                <w:webHidden/>
              </w:rPr>
              <w:fldChar w:fldCharType="separate"/>
            </w:r>
            <w:r w:rsidR="00AB601C">
              <w:rPr>
                <w:noProof/>
                <w:webHidden/>
              </w:rPr>
              <w:t>53</w:t>
            </w:r>
            <w:r w:rsidR="00D17566">
              <w:rPr>
                <w:noProof/>
                <w:webHidden/>
              </w:rPr>
              <w:fldChar w:fldCharType="end"/>
            </w:r>
          </w:hyperlink>
        </w:p>
        <w:p w:rsidR="00D17566" w:rsidRDefault="00645938">
          <w:pPr>
            <w:pStyle w:val="TOC4"/>
            <w:tabs>
              <w:tab w:val="right" w:leader="dot" w:pos="9350"/>
            </w:tabs>
            <w:rPr>
              <w:rFonts w:asciiTheme="minorHAnsi" w:eastAsiaTheme="minorEastAsia" w:hAnsiTheme="minorHAnsi" w:cstheme="minorBidi"/>
              <w:noProof/>
              <w:sz w:val="22"/>
              <w:szCs w:val="22"/>
            </w:rPr>
          </w:pPr>
          <w:hyperlink w:anchor="_Toc369087024" w:history="1">
            <w:r w:rsidR="00D17566" w:rsidRPr="00175CBC">
              <w:rPr>
                <w:rStyle w:val="Hyperlink"/>
                <w:noProof/>
              </w:rPr>
              <w:t>Table 9: Piceance Basin 2006 NOx Emission Sources (tpy)</w:t>
            </w:r>
            <w:r w:rsidR="00D17566">
              <w:rPr>
                <w:noProof/>
                <w:webHidden/>
              </w:rPr>
              <w:tab/>
            </w:r>
            <w:r w:rsidR="00D17566">
              <w:rPr>
                <w:noProof/>
                <w:webHidden/>
              </w:rPr>
              <w:fldChar w:fldCharType="begin"/>
            </w:r>
            <w:r w:rsidR="00D17566">
              <w:rPr>
                <w:noProof/>
                <w:webHidden/>
              </w:rPr>
              <w:instrText xml:space="preserve"> PAGEREF _Toc369087024 \h </w:instrText>
            </w:r>
            <w:r w:rsidR="00D17566">
              <w:rPr>
                <w:noProof/>
                <w:webHidden/>
              </w:rPr>
            </w:r>
            <w:r w:rsidR="00D17566">
              <w:rPr>
                <w:noProof/>
                <w:webHidden/>
              </w:rPr>
              <w:fldChar w:fldCharType="separate"/>
            </w:r>
            <w:r w:rsidR="00AB601C">
              <w:rPr>
                <w:noProof/>
                <w:webHidden/>
              </w:rPr>
              <w:t>54</w:t>
            </w:r>
            <w:r w:rsidR="00D17566">
              <w:rPr>
                <w:noProof/>
                <w:webHidden/>
              </w:rPr>
              <w:fldChar w:fldCharType="end"/>
            </w:r>
          </w:hyperlink>
        </w:p>
        <w:p w:rsidR="00D17566" w:rsidRDefault="00645938">
          <w:pPr>
            <w:pStyle w:val="TOC4"/>
            <w:tabs>
              <w:tab w:val="right" w:leader="dot" w:pos="9350"/>
            </w:tabs>
            <w:rPr>
              <w:rStyle w:val="Hyperlink"/>
              <w:noProof/>
            </w:rPr>
          </w:pPr>
          <w:hyperlink w:anchor="_Toc369087025" w:history="1">
            <w:r w:rsidR="00D17566" w:rsidRPr="00175CBC">
              <w:rPr>
                <w:rStyle w:val="Hyperlink"/>
                <w:noProof/>
              </w:rPr>
              <w:t>Table 10: Piceance Basin 2006 VOC Emission Sources (tpy)</w:t>
            </w:r>
            <w:r w:rsidR="00D17566">
              <w:rPr>
                <w:noProof/>
                <w:webHidden/>
              </w:rPr>
              <w:tab/>
            </w:r>
            <w:r w:rsidR="00D17566">
              <w:rPr>
                <w:noProof/>
                <w:webHidden/>
              </w:rPr>
              <w:fldChar w:fldCharType="begin"/>
            </w:r>
            <w:r w:rsidR="00D17566">
              <w:rPr>
                <w:noProof/>
                <w:webHidden/>
              </w:rPr>
              <w:instrText xml:space="preserve"> PAGEREF _Toc369087025 \h </w:instrText>
            </w:r>
            <w:r w:rsidR="00D17566">
              <w:rPr>
                <w:noProof/>
                <w:webHidden/>
              </w:rPr>
            </w:r>
            <w:r w:rsidR="00D17566">
              <w:rPr>
                <w:noProof/>
                <w:webHidden/>
              </w:rPr>
              <w:fldChar w:fldCharType="separate"/>
            </w:r>
            <w:r w:rsidR="00AB601C">
              <w:rPr>
                <w:noProof/>
                <w:webHidden/>
              </w:rPr>
              <w:t>54</w:t>
            </w:r>
            <w:r w:rsidR="00D17566">
              <w:rPr>
                <w:noProof/>
                <w:webHidden/>
              </w:rPr>
              <w:fldChar w:fldCharType="end"/>
            </w:r>
          </w:hyperlink>
        </w:p>
        <w:p w:rsidR="00D17566" w:rsidRDefault="00D17566" w:rsidP="00D17566">
          <w:pPr>
            <w:rPr>
              <w:rFonts w:eastAsiaTheme="minorEastAsia"/>
              <w:noProof/>
            </w:rPr>
          </w:pPr>
        </w:p>
        <w:p w:rsidR="00D17566" w:rsidRDefault="00645938" w:rsidP="00D17566">
          <w:pPr>
            <w:pStyle w:val="TOC3"/>
            <w:tabs>
              <w:tab w:val="right" w:leader="dot" w:pos="9350"/>
            </w:tabs>
            <w:rPr>
              <w:rFonts w:asciiTheme="minorHAnsi" w:eastAsiaTheme="minorEastAsia" w:hAnsiTheme="minorHAnsi" w:cstheme="minorBidi"/>
              <w:noProof/>
              <w:sz w:val="22"/>
              <w:szCs w:val="22"/>
            </w:rPr>
          </w:pPr>
          <w:hyperlink w:anchor="_Toc369087022" w:history="1">
            <w:r w:rsidR="00D17566">
              <w:rPr>
                <w:rStyle w:val="Hyperlink"/>
                <w:noProof/>
              </w:rPr>
              <w:t>North San Juan</w:t>
            </w:r>
            <w:r w:rsidR="00D17566" w:rsidRPr="00175CBC">
              <w:rPr>
                <w:rStyle w:val="Hyperlink"/>
                <w:noProof/>
              </w:rPr>
              <w:t xml:space="preserve"> Basin 2006 Emissions</w:t>
            </w:r>
            <w:r w:rsidR="00D17566">
              <w:rPr>
                <w:noProof/>
                <w:webHidden/>
              </w:rPr>
              <w:tab/>
            </w:r>
            <w:r w:rsidR="00D17566">
              <w:rPr>
                <w:noProof/>
                <w:webHidden/>
              </w:rPr>
              <w:fldChar w:fldCharType="begin"/>
            </w:r>
            <w:r w:rsidR="00D17566">
              <w:rPr>
                <w:noProof/>
                <w:webHidden/>
              </w:rPr>
              <w:instrText xml:space="preserve"> PAGEREF _Toc369087022 \h </w:instrText>
            </w:r>
            <w:r w:rsidR="00D17566">
              <w:rPr>
                <w:noProof/>
                <w:webHidden/>
              </w:rPr>
            </w:r>
            <w:r w:rsidR="00D17566">
              <w:rPr>
                <w:noProof/>
                <w:webHidden/>
              </w:rPr>
              <w:fldChar w:fldCharType="separate"/>
            </w:r>
            <w:r w:rsidR="00AB601C">
              <w:rPr>
                <w:noProof/>
                <w:webHidden/>
              </w:rPr>
              <w:t>5</w:t>
            </w:r>
            <w:r w:rsidR="00D17566">
              <w:rPr>
                <w:noProof/>
                <w:webHidden/>
              </w:rPr>
              <w:fldChar w:fldCharType="end"/>
            </w:r>
          </w:hyperlink>
          <w:r w:rsidR="00AB601C">
            <w:rPr>
              <w:noProof/>
            </w:rPr>
            <w:t>6</w:t>
          </w:r>
        </w:p>
        <w:p w:rsidR="00D17566" w:rsidRDefault="00645938">
          <w:pPr>
            <w:pStyle w:val="TOC4"/>
            <w:tabs>
              <w:tab w:val="right" w:leader="dot" w:pos="9350"/>
            </w:tabs>
            <w:rPr>
              <w:rFonts w:asciiTheme="minorHAnsi" w:eastAsiaTheme="minorEastAsia" w:hAnsiTheme="minorHAnsi" w:cstheme="minorBidi"/>
              <w:noProof/>
              <w:sz w:val="22"/>
              <w:szCs w:val="22"/>
            </w:rPr>
          </w:pPr>
          <w:hyperlink w:anchor="_Toc369087026" w:history="1">
            <w:r w:rsidR="00D17566" w:rsidRPr="00175CBC">
              <w:rPr>
                <w:rStyle w:val="Hyperlink"/>
                <w:noProof/>
              </w:rPr>
              <w:t>Figure 5: North San Juan Basin Boundaries Overlaid With 2006 O&amp;G Well Locations</w:t>
            </w:r>
            <w:r w:rsidR="00D17566">
              <w:rPr>
                <w:noProof/>
                <w:webHidden/>
              </w:rPr>
              <w:tab/>
            </w:r>
            <w:r w:rsidR="00D17566">
              <w:rPr>
                <w:noProof/>
                <w:webHidden/>
              </w:rPr>
              <w:fldChar w:fldCharType="begin"/>
            </w:r>
            <w:r w:rsidR="00D17566">
              <w:rPr>
                <w:noProof/>
                <w:webHidden/>
              </w:rPr>
              <w:instrText xml:space="preserve"> PAGEREF _Toc369087026 \h </w:instrText>
            </w:r>
            <w:r w:rsidR="00D17566">
              <w:rPr>
                <w:noProof/>
                <w:webHidden/>
              </w:rPr>
            </w:r>
            <w:r w:rsidR="00D17566">
              <w:rPr>
                <w:noProof/>
                <w:webHidden/>
              </w:rPr>
              <w:fldChar w:fldCharType="separate"/>
            </w:r>
            <w:r w:rsidR="00AB601C">
              <w:rPr>
                <w:noProof/>
                <w:webHidden/>
              </w:rPr>
              <w:t>56</w:t>
            </w:r>
            <w:r w:rsidR="00D17566">
              <w:rPr>
                <w:noProof/>
                <w:webHidden/>
              </w:rPr>
              <w:fldChar w:fldCharType="end"/>
            </w:r>
          </w:hyperlink>
        </w:p>
        <w:p w:rsidR="00D17566" w:rsidRDefault="00645938">
          <w:pPr>
            <w:pStyle w:val="TOC4"/>
            <w:tabs>
              <w:tab w:val="right" w:leader="dot" w:pos="9350"/>
            </w:tabs>
            <w:rPr>
              <w:rFonts w:asciiTheme="minorHAnsi" w:eastAsiaTheme="minorEastAsia" w:hAnsiTheme="minorHAnsi" w:cstheme="minorBidi"/>
              <w:noProof/>
              <w:sz w:val="22"/>
              <w:szCs w:val="22"/>
            </w:rPr>
          </w:pPr>
          <w:hyperlink w:anchor="_Toc369087027" w:history="1">
            <w:r w:rsidR="00D17566" w:rsidRPr="00175CBC">
              <w:rPr>
                <w:rStyle w:val="Hyperlink"/>
                <w:noProof/>
              </w:rPr>
              <w:t>Table 11: North San Juan Basin 2006 NOx Emission Sources (tpy)</w:t>
            </w:r>
            <w:r w:rsidR="00D17566">
              <w:rPr>
                <w:noProof/>
                <w:webHidden/>
              </w:rPr>
              <w:tab/>
            </w:r>
            <w:r w:rsidR="00D17566">
              <w:rPr>
                <w:noProof/>
                <w:webHidden/>
              </w:rPr>
              <w:fldChar w:fldCharType="begin"/>
            </w:r>
            <w:r w:rsidR="00D17566">
              <w:rPr>
                <w:noProof/>
                <w:webHidden/>
              </w:rPr>
              <w:instrText xml:space="preserve"> PAGEREF _Toc369087027 \h </w:instrText>
            </w:r>
            <w:r w:rsidR="00D17566">
              <w:rPr>
                <w:noProof/>
                <w:webHidden/>
              </w:rPr>
            </w:r>
            <w:r w:rsidR="00D17566">
              <w:rPr>
                <w:noProof/>
                <w:webHidden/>
              </w:rPr>
              <w:fldChar w:fldCharType="separate"/>
            </w:r>
            <w:r w:rsidR="00AB601C">
              <w:rPr>
                <w:noProof/>
                <w:webHidden/>
              </w:rPr>
              <w:t>57</w:t>
            </w:r>
            <w:r w:rsidR="00D17566">
              <w:rPr>
                <w:noProof/>
                <w:webHidden/>
              </w:rPr>
              <w:fldChar w:fldCharType="end"/>
            </w:r>
          </w:hyperlink>
        </w:p>
        <w:p w:rsidR="00D17566" w:rsidRDefault="00645938">
          <w:pPr>
            <w:pStyle w:val="TOC4"/>
            <w:tabs>
              <w:tab w:val="right" w:leader="dot" w:pos="9350"/>
            </w:tabs>
            <w:rPr>
              <w:rStyle w:val="Hyperlink"/>
              <w:noProof/>
            </w:rPr>
          </w:pPr>
          <w:hyperlink w:anchor="_Toc369087028" w:history="1">
            <w:r w:rsidR="00D17566" w:rsidRPr="00175CBC">
              <w:rPr>
                <w:rStyle w:val="Hyperlink"/>
                <w:noProof/>
              </w:rPr>
              <w:t>Table 12: North San Juan Basin 2006 VOC Emission Sources (tpy)</w:t>
            </w:r>
            <w:r w:rsidR="00D17566">
              <w:rPr>
                <w:noProof/>
                <w:webHidden/>
              </w:rPr>
              <w:tab/>
            </w:r>
            <w:r w:rsidR="00D17566">
              <w:rPr>
                <w:noProof/>
                <w:webHidden/>
              </w:rPr>
              <w:fldChar w:fldCharType="begin"/>
            </w:r>
            <w:r w:rsidR="00D17566">
              <w:rPr>
                <w:noProof/>
                <w:webHidden/>
              </w:rPr>
              <w:instrText xml:space="preserve"> PAGEREF _Toc369087028 \h </w:instrText>
            </w:r>
            <w:r w:rsidR="00D17566">
              <w:rPr>
                <w:noProof/>
                <w:webHidden/>
              </w:rPr>
            </w:r>
            <w:r w:rsidR="00D17566">
              <w:rPr>
                <w:noProof/>
                <w:webHidden/>
              </w:rPr>
              <w:fldChar w:fldCharType="separate"/>
            </w:r>
            <w:r w:rsidR="00AB601C">
              <w:rPr>
                <w:noProof/>
                <w:webHidden/>
              </w:rPr>
              <w:t>58</w:t>
            </w:r>
            <w:r w:rsidR="00D17566">
              <w:rPr>
                <w:noProof/>
                <w:webHidden/>
              </w:rPr>
              <w:fldChar w:fldCharType="end"/>
            </w:r>
          </w:hyperlink>
        </w:p>
        <w:p w:rsidR="00D17566" w:rsidRPr="00D17566" w:rsidRDefault="00D17566" w:rsidP="00D17566">
          <w:pPr>
            <w:rPr>
              <w:rFonts w:eastAsiaTheme="minorEastAsia"/>
              <w:noProof/>
            </w:rPr>
          </w:pPr>
        </w:p>
        <w:p w:rsidR="00D17566" w:rsidRDefault="00645938">
          <w:pPr>
            <w:pStyle w:val="TOC3"/>
            <w:tabs>
              <w:tab w:val="right" w:leader="dot" w:pos="9350"/>
            </w:tabs>
            <w:rPr>
              <w:rFonts w:asciiTheme="minorHAnsi" w:eastAsiaTheme="minorEastAsia" w:hAnsiTheme="minorHAnsi" w:cstheme="minorBidi"/>
              <w:noProof/>
              <w:sz w:val="22"/>
              <w:szCs w:val="22"/>
            </w:rPr>
          </w:pPr>
          <w:hyperlink w:anchor="_Toc369087029" w:history="1">
            <w:r w:rsidR="00D17566" w:rsidRPr="00175CBC">
              <w:rPr>
                <w:rStyle w:val="Hyperlink"/>
                <w:noProof/>
              </w:rPr>
              <w:t>South San Juan Basin 2006 Emissions</w:t>
            </w:r>
            <w:r w:rsidR="00D17566">
              <w:rPr>
                <w:noProof/>
                <w:webHidden/>
              </w:rPr>
              <w:tab/>
            </w:r>
            <w:r w:rsidR="00D17566">
              <w:rPr>
                <w:noProof/>
                <w:webHidden/>
              </w:rPr>
              <w:fldChar w:fldCharType="begin"/>
            </w:r>
            <w:r w:rsidR="00D17566">
              <w:rPr>
                <w:noProof/>
                <w:webHidden/>
              </w:rPr>
              <w:instrText xml:space="preserve"> PAGEREF _Toc369087029 \h </w:instrText>
            </w:r>
            <w:r w:rsidR="00D17566">
              <w:rPr>
                <w:noProof/>
                <w:webHidden/>
              </w:rPr>
            </w:r>
            <w:r w:rsidR="00D17566">
              <w:rPr>
                <w:noProof/>
                <w:webHidden/>
              </w:rPr>
              <w:fldChar w:fldCharType="separate"/>
            </w:r>
            <w:r w:rsidR="00AB601C">
              <w:rPr>
                <w:noProof/>
                <w:webHidden/>
              </w:rPr>
              <w:t>59</w:t>
            </w:r>
            <w:r w:rsidR="00D17566">
              <w:rPr>
                <w:noProof/>
                <w:webHidden/>
              </w:rPr>
              <w:fldChar w:fldCharType="end"/>
            </w:r>
          </w:hyperlink>
        </w:p>
        <w:p w:rsidR="00D17566" w:rsidRDefault="00645938">
          <w:pPr>
            <w:pStyle w:val="TOC4"/>
            <w:tabs>
              <w:tab w:val="right" w:leader="dot" w:pos="9350"/>
            </w:tabs>
            <w:rPr>
              <w:rFonts w:asciiTheme="minorHAnsi" w:eastAsiaTheme="minorEastAsia" w:hAnsiTheme="minorHAnsi" w:cstheme="minorBidi"/>
              <w:noProof/>
              <w:sz w:val="22"/>
              <w:szCs w:val="22"/>
            </w:rPr>
          </w:pPr>
          <w:hyperlink w:anchor="_Toc369087030" w:history="1">
            <w:r w:rsidR="00D17566" w:rsidRPr="00175CBC">
              <w:rPr>
                <w:rStyle w:val="Hyperlink"/>
                <w:noProof/>
              </w:rPr>
              <w:t>Figure 6: South San Juan Basin Boundaries Overlaid With 2006 O&amp;G Well Locations</w:t>
            </w:r>
            <w:r w:rsidR="00D17566">
              <w:rPr>
                <w:noProof/>
                <w:webHidden/>
              </w:rPr>
              <w:tab/>
            </w:r>
            <w:r w:rsidR="00D17566">
              <w:rPr>
                <w:noProof/>
                <w:webHidden/>
              </w:rPr>
              <w:fldChar w:fldCharType="begin"/>
            </w:r>
            <w:r w:rsidR="00D17566">
              <w:rPr>
                <w:noProof/>
                <w:webHidden/>
              </w:rPr>
              <w:instrText xml:space="preserve"> PAGEREF _Toc369087030 \h </w:instrText>
            </w:r>
            <w:r w:rsidR="00D17566">
              <w:rPr>
                <w:noProof/>
                <w:webHidden/>
              </w:rPr>
            </w:r>
            <w:r w:rsidR="00D17566">
              <w:rPr>
                <w:noProof/>
                <w:webHidden/>
              </w:rPr>
              <w:fldChar w:fldCharType="separate"/>
            </w:r>
            <w:r w:rsidR="00AB601C">
              <w:rPr>
                <w:noProof/>
                <w:webHidden/>
              </w:rPr>
              <w:t>59</w:t>
            </w:r>
            <w:r w:rsidR="00D17566">
              <w:rPr>
                <w:noProof/>
                <w:webHidden/>
              </w:rPr>
              <w:fldChar w:fldCharType="end"/>
            </w:r>
          </w:hyperlink>
        </w:p>
        <w:p w:rsidR="00D17566" w:rsidRDefault="00645938">
          <w:pPr>
            <w:pStyle w:val="TOC4"/>
            <w:tabs>
              <w:tab w:val="right" w:leader="dot" w:pos="9350"/>
            </w:tabs>
            <w:rPr>
              <w:rFonts w:asciiTheme="minorHAnsi" w:eastAsiaTheme="minorEastAsia" w:hAnsiTheme="minorHAnsi" w:cstheme="minorBidi"/>
              <w:noProof/>
              <w:sz w:val="22"/>
              <w:szCs w:val="22"/>
            </w:rPr>
          </w:pPr>
          <w:hyperlink w:anchor="_Toc369087031" w:history="1">
            <w:r w:rsidR="00D17566" w:rsidRPr="00175CBC">
              <w:rPr>
                <w:rStyle w:val="Hyperlink"/>
                <w:noProof/>
              </w:rPr>
              <w:t>Table 13: South San Juan Basin 2006 NOx Emission Sources (tpy)</w:t>
            </w:r>
            <w:r w:rsidR="00D17566">
              <w:rPr>
                <w:noProof/>
                <w:webHidden/>
              </w:rPr>
              <w:tab/>
            </w:r>
            <w:r w:rsidR="00D17566">
              <w:rPr>
                <w:noProof/>
                <w:webHidden/>
              </w:rPr>
              <w:fldChar w:fldCharType="begin"/>
            </w:r>
            <w:r w:rsidR="00D17566">
              <w:rPr>
                <w:noProof/>
                <w:webHidden/>
              </w:rPr>
              <w:instrText xml:space="preserve"> PAGEREF _Toc369087031 \h </w:instrText>
            </w:r>
            <w:r w:rsidR="00D17566">
              <w:rPr>
                <w:noProof/>
                <w:webHidden/>
              </w:rPr>
            </w:r>
            <w:r w:rsidR="00D17566">
              <w:rPr>
                <w:noProof/>
                <w:webHidden/>
              </w:rPr>
              <w:fldChar w:fldCharType="separate"/>
            </w:r>
            <w:r w:rsidR="00AB601C">
              <w:rPr>
                <w:noProof/>
                <w:webHidden/>
              </w:rPr>
              <w:t>60</w:t>
            </w:r>
            <w:r w:rsidR="00D17566">
              <w:rPr>
                <w:noProof/>
                <w:webHidden/>
              </w:rPr>
              <w:fldChar w:fldCharType="end"/>
            </w:r>
          </w:hyperlink>
        </w:p>
        <w:p w:rsidR="00D17566" w:rsidRDefault="00645938">
          <w:pPr>
            <w:pStyle w:val="TOC4"/>
            <w:tabs>
              <w:tab w:val="right" w:leader="dot" w:pos="9350"/>
            </w:tabs>
            <w:rPr>
              <w:rStyle w:val="Hyperlink"/>
              <w:noProof/>
            </w:rPr>
          </w:pPr>
          <w:hyperlink w:anchor="_Toc369087032" w:history="1">
            <w:r w:rsidR="00D17566" w:rsidRPr="00175CBC">
              <w:rPr>
                <w:rStyle w:val="Hyperlink"/>
                <w:noProof/>
              </w:rPr>
              <w:t>Table 14: South San Juan Basin 2006 VOC Emission Sources (tpy)</w:t>
            </w:r>
            <w:r w:rsidR="00D17566">
              <w:rPr>
                <w:noProof/>
                <w:webHidden/>
              </w:rPr>
              <w:tab/>
            </w:r>
            <w:r w:rsidR="00D17566">
              <w:rPr>
                <w:noProof/>
                <w:webHidden/>
              </w:rPr>
              <w:fldChar w:fldCharType="begin"/>
            </w:r>
            <w:r w:rsidR="00D17566">
              <w:rPr>
                <w:noProof/>
                <w:webHidden/>
              </w:rPr>
              <w:instrText xml:space="preserve"> PAGEREF _Toc369087032 \h </w:instrText>
            </w:r>
            <w:r w:rsidR="00D17566">
              <w:rPr>
                <w:noProof/>
                <w:webHidden/>
              </w:rPr>
            </w:r>
            <w:r w:rsidR="00D17566">
              <w:rPr>
                <w:noProof/>
                <w:webHidden/>
              </w:rPr>
              <w:fldChar w:fldCharType="separate"/>
            </w:r>
            <w:r w:rsidR="00AB601C">
              <w:rPr>
                <w:noProof/>
                <w:webHidden/>
              </w:rPr>
              <w:t>61</w:t>
            </w:r>
            <w:r w:rsidR="00D17566">
              <w:rPr>
                <w:noProof/>
                <w:webHidden/>
              </w:rPr>
              <w:fldChar w:fldCharType="end"/>
            </w:r>
          </w:hyperlink>
        </w:p>
        <w:p w:rsidR="00D17566" w:rsidRPr="00D17566" w:rsidRDefault="00D17566" w:rsidP="00D17566">
          <w:pPr>
            <w:rPr>
              <w:rFonts w:eastAsiaTheme="minorEastAsia"/>
              <w:noProof/>
            </w:rPr>
          </w:pPr>
        </w:p>
        <w:p w:rsidR="00D17566" w:rsidRDefault="00645938">
          <w:pPr>
            <w:pStyle w:val="TOC3"/>
            <w:tabs>
              <w:tab w:val="right" w:leader="dot" w:pos="9350"/>
            </w:tabs>
            <w:rPr>
              <w:rFonts w:asciiTheme="minorHAnsi" w:eastAsiaTheme="minorEastAsia" w:hAnsiTheme="minorHAnsi" w:cstheme="minorBidi"/>
              <w:noProof/>
              <w:sz w:val="22"/>
              <w:szCs w:val="22"/>
            </w:rPr>
          </w:pPr>
          <w:hyperlink w:anchor="_Toc369087033" w:history="1">
            <w:r w:rsidR="00D17566" w:rsidRPr="00175CBC">
              <w:rPr>
                <w:rStyle w:val="Hyperlink"/>
                <w:noProof/>
              </w:rPr>
              <w:t>Wind River Basin 2006 Emissions</w:t>
            </w:r>
            <w:r w:rsidR="00D17566">
              <w:rPr>
                <w:noProof/>
                <w:webHidden/>
              </w:rPr>
              <w:tab/>
            </w:r>
            <w:r w:rsidR="00D17566">
              <w:rPr>
                <w:noProof/>
                <w:webHidden/>
              </w:rPr>
              <w:fldChar w:fldCharType="begin"/>
            </w:r>
            <w:r w:rsidR="00D17566">
              <w:rPr>
                <w:noProof/>
                <w:webHidden/>
              </w:rPr>
              <w:instrText xml:space="preserve"> PAGEREF _Toc369087033 \h </w:instrText>
            </w:r>
            <w:r w:rsidR="00D17566">
              <w:rPr>
                <w:noProof/>
                <w:webHidden/>
              </w:rPr>
            </w:r>
            <w:r w:rsidR="00D17566">
              <w:rPr>
                <w:noProof/>
                <w:webHidden/>
              </w:rPr>
              <w:fldChar w:fldCharType="separate"/>
            </w:r>
            <w:r w:rsidR="00AB601C">
              <w:rPr>
                <w:noProof/>
                <w:webHidden/>
              </w:rPr>
              <w:t>63</w:t>
            </w:r>
            <w:r w:rsidR="00D17566">
              <w:rPr>
                <w:noProof/>
                <w:webHidden/>
              </w:rPr>
              <w:fldChar w:fldCharType="end"/>
            </w:r>
          </w:hyperlink>
        </w:p>
        <w:p w:rsidR="00D17566" w:rsidRDefault="00645938">
          <w:pPr>
            <w:pStyle w:val="TOC4"/>
            <w:tabs>
              <w:tab w:val="right" w:leader="dot" w:pos="9350"/>
            </w:tabs>
            <w:rPr>
              <w:rFonts w:asciiTheme="minorHAnsi" w:eastAsiaTheme="minorEastAsia" w:hAnsiTheme="minorHAnsi" w:cstheme="minorBidi"/>
              <w:noProof/>
              <w:sz w:val="22"/>
              <w:szCs w:val="22"/>
            </w:rPr>
          </w:pPr>
          <w:hyperlink w:anchor="_Toc369087034" w:history="1">
            <w:r w:rsidR="00D17566" w:rsidRPr="00175CBC">
              <w:rPr>
                <w:rStyle w:val="Hyperlink"/>
                <w:noProof/>
              </w:rPr>
              <w:t>Figure 7: Wind River Basin Boundaries Overlaid With 2006 O&amp;G Well Locations</w:t>
            </w:r>
            <w:r w:rsidR="00D17566">
              <w:rPr>
                <w:noProof/>
                <w:webHidden/>
              </w:rPr>
              <w:tab/>
            </w:r>
            <w:r w:rsidR="00D17566">
              <w:rPr>
                <w:noProof/>
                <w:webHidden/>
              </w:rPr>
              <w:fldChar w:fldCharType="begin"/>
            </w:r>
            <w:r w:rsidR="00D17566">
              <w:rPr>
                <w:noProof/>
                <w:webHidden/>
              </w:rPr>
              <w:instrText xml:space="preserve"> PAGEREF _Toc369087034 \h </w:instrText>
            </w:r>
            <w:r w:rsidR="00D17566">
              <w:rPr>
                <w:noProof/>
                <w:webHidden/>
              </w:rPr>
            </w:r>
            <w:r w:rsidR="00D17566">
              <w:rPr>
                <w:noProof/>
                <w:webHidden/>
              </w:rPr>
              <w:fldChar w:fldCharType="separate"/>
            </w:r>
            <w:r w:rsidR="00AB601C">
              <w:rPr>
                <w:noProof/>
                <w:webHidden/>
              </w:rPr>
              <w:t>63</w:t>
            </w:r>
            <w:r w:rsidR="00D17566">
              <w:rPr>
                <w:noProof/>
                <w:webHidden/>
              </w:rPr>
              <w:fldChar w:fldCharType="end"/>
            </w:r>
          </w:hyperlink>
        </w:p>
        <w:p w:rsidR="00D17566" w:rsidRDefault="00645938">
          <w:pPr>
            <w:pStyle w:val="TOC4"/>
            <w:tabs>
              <w:tab w:val="right" w:leader="dot" w:pos="9350"/>
            </w:tabs>
            <w:rPr>
              <w:rFonts w:asciiTheme="minorHAnsi" w:eastAsiaTheme="minorEastAsia" w:hAnsiTheme="minorHAnsi" w:cstheme="minorBidi"/>
              <w:noProof/>
              <w:sz w:val="22"/>
              <w:szCs w:val="22"/>
            </w:rPr>
          </w:pPr>
          <w:hyperlink w:anchor="_Toc369087035" w:history="1">
            <w:r w:rsidR="00D17566" w:rsidRPr="00175CBC">
              <w:rPr>
                <w:rStyle w:val="Hyperlink"/>
                <w:noProof/>
              </w:rPr>
              <w:t>Table 15: Wind River Basin 2006 NOx Emission Sources (tpy)</w:t>
            </w:r>
            <w:r w:rsidR="00D17566">
              <w:rPr>
                <w:noProof/>
                <w:webHidden/>
              </w:rPr>
              <w:tab/>
            </w:r>
            <w:r w:rsidR="00D17566">
              <w:rPr>
                <w:noProof/>
                <w:webHidden/>
              </w:rPr>
              <w:fldChar w:fldCharType="begin"/>
            </w:r>
            <w:r w:rsidR="00D17566">
              <w:rPr>
                <w:noProof/>
                <w:webHidden/>
              </w:rPr>
              <w:instrText xml:space="preserve"> PAGEREF _Toc369087035 \h </w:instrText>
            </w:r>
            <w:r w:rsidR="00D17566">
              <w:rPr>
                <w:noProof/>
                <w:webHidden/>
              </w:rPr>
            </w:r>
            <w:r w:rsidR="00D17566">
              <w:rPr>
                <w:noProof/>
                <w:webHidden/>
              </w:rPr>
              <w:fldChar w:fldCharType="separate"/>
            </w:r>
            <w:r w:rsidR="00AB601C">
              <w:rPr>
                <w:noProof/>
                <w:webHidden/>
              </w:rPr>
              <w:t>64</w:t>
            </w:r>
            <w:r w:rsidR="00D17566">
              <w:rPr>
                <w:noProof/>
                <w:webHidden/>
              </w:rPr>
              <w:fldChar w:fldCharType="end"/>
            </w:r>
          </w:hyperlink>
        </w:p>
        <w:p w:rsidR="00D17566" w:rsidRDefault="00645938">
          <w:pPr>
            <w:pStyle w:val="TOC4"/>
            <w:tabs>
              <w:tab w:val="right" w:leader="dot" w:pos="9350"/>
            </w:tabs>
            <w:rPr>
              <w:rStyle w:val="Hyperlink"/>
              <w:noProof/>
            </w:rPr>
          </w:pPr>
          <w:hyperlink w:anchor="_Toc369087036" w:history="1">
            <w:r w:rsidR="00D17566" w:rsidRPr="00175CBC">
              <w:rPr>
                <w:rStyle w:val="Hyperlink"/>
                <w:noProof/>
              </w:rPr>
              <w:t>Table 16: Wind River Basin 2006 VOC Emission Sources (tpy)</w:t>
            </w:r>
            <w:r w:rsidR="00D17566">
              <w:rPr>
                <w:noProof/>
                <w:webHidden/>
              </w:rPr>
              <w:tab/>
            </w:r>
            <w:r w:rsidR="00D17566">
              <w:rPr>
                <w:noProof/>
                <w:webHidden/>
              </w:rPr>
              <w:fldChar w:fldCharType="begin"/>
            </w:r>
            <w:r w:rsidR="00D17566">
              <w:rPr>
                <w:noProof/>
                <w:webHidden/>
              </w:rPr>
              <w:instrText xml:space="preserve"> PAGEREF _Toc369087036 \h </w:instrText>
            </w:r>
            <w:r w:rsidR="00D17566">
              <w:rPr>
                <w:noProof/>
                <w:webHidden/>
              </w:rPr>
            </w:r>
            <w:r w:rsidR="00D17566">
              <w:rPr>
                <w:noProof/>
                <w:webHidden/>
              </w:rPr>
              <w:fldChar w:fldCharType="separate"/>
            </w:r>
            <w:r w:rsidR="00AB601C">
              <w:rPr>
                <w:noProof/>
                <w:webHidden/>
              </w:rPr>
              <w:t>65</w:t>
            </w:r>
            <w:r w:rsidR="00D17566">
              <w:rPr>
                <w:noProof/>
                <w:webHidden/>
              </w:rPr>
              <w:fldChar w:fldCharType="end"/>
            </w:r>
          </w:hyperlink>
        </w:p>
        <w:p w:rsidR="00D17566" w:rsidRPr="00D17566" w:rsidRDefault="00D17566" w:rsidP="00D17566">
          <w:pPr>
            <w:rPr>
              <w:rFonts w:eastAsiaTheme="minorEastAsia"/>
              <w:noProof/>
            </w:rPr>
          </w:pPr>
        </w:p>
        <w:p w:rsidR="00D17566" w:rsidRDefault="00645938">
          <w:pPr>
            <w:pStyle w:val="TOC3"/>
            <w:tabs>
              <w:tab w:val="right" w:leader="dot" w:pos="9350"/>
            </w:tabs>
            <w:rPr>
              <w:rFonts w:asciiTheme="minorHAnsi" w:eastAsiaTheme="minorEastAsia" w:hAnsiTheme="minorHAnsi" w:cstheme="minorBidi"/>
              <w:noProof/>
              <w:sz w:val="22"/>
              <w:szCs w:val="22"/>
            </w:rPr>
          </w:pPr>
          <w:hyperlink w:anchor="_Toc369087037" w:history="1">
            <w:r w:rsidR="00D17566" w:rsidRPr="00175CBC">
              <w:rPr>
                <w:rStyle w:val="Hyperlink"/>
                <w:noProof/>
              </w:rPr>
              <w:t>Powder River Basin 2006 Emissions</w:t>
            </w:r>
            <w:r w:rsidR="00D17566">
              <w:rPr>
                <w:noProof/>
                <w:webHidden/>
              </w:rPr>
              <w:tab/>
            </w:r>
            <w:r w:rsidR="00D17566">
              <w:rPr>
                <w:noProof/>
                <w:webHidden/>
              </w:rPr>
              <w:fldChar w:fldCharType="begin"/>
            </w:r>
            <w:r w:rsidR="00D17566">
              <w:rPr>
                <w:noProof/>
                <w:webHidden/>
              </w:rPr>
              <w:instrText xml:space="preserve"> PAGEREF _Toc369087037 \h </w:instrText>
            </w:r>
            <w:r w:rsidR="00D17566">
              <w:rPr>
                <w:noProof/>
                <w:webHidden/>
              </w:rPr>
            </w:r>
            <w:r w:rsidR="00D17566">
              <w:rPr>
                <w:noProof/>
                <w:webHidden/>
              </w:rPr>
              <w:fldChar w:fldCharType="separate"/>
            </w:r>
            <w:r w:rsidR="00AB601C">
              <w:rPr>
                <w:noProof/>
                <w:webHidden/>
              </w:rPr>
              <w:t>67</w:t>
            </w:r>
            <w:r w:rsidR="00D17566">
              <w:rPr>
                <w:noProof/>
                <w:webHidden/>
              </w:rPr>
              <w:fldChar w:fldCharType="end"/>
            </w:r>
          </w:hyperlink>
        </w:p>
        <w:p w:rsidR="00D17566" w:rsidRDefault="00645938">
          <w:pPr>
            <w:pStyle w:val="TOC4"/>
            <w:tabs>
              <w:tab w:val="right" w:leader="dot" w:pos="9350"/>
            </w:tabs>
            <w:rPr>
              <w:rFonts w:asciiTheme="minorHAnsi" w:eastAsiaTheme="minorEastAsia" w:hAnsiTheme="minorHAnsi" w:cstheme="minorBidi"/>
              <w:noProof/>
              <w:sz w:val="22"/>
              <w:szCs w:val="22"/>
            </w:rPr>
          </w:pPr>
          <w:hyperlink w:anchor="_Toc369087038" w:history="1">
            <w:r w:rsidR="00D17566" w:rsidRPr="00175CBC">
              <w:rPr>
                <w:rStyle w:val="Hyperlink"/>
                <w:noProof/>
              </w:rPr>
              <w:t>Figure 8: Powder River Basin Boundaries Overlaid With 2006 OG Well Locations</w:t>
            </w:r>
            <w:r w:rsidR="00D17566">
              <w:rPr>
                <w:noProof/>
                <w:webHidden/>
              </w:rPr>
              <w:tab/>
            </w:r>
            <w:r w:rsidR="00D17566">
              <w:rPr>
                <w:noProof/>
                <w:webHidden/>
              </w:rPr>
              <w:fldChar w:fldCharType="begin"/>
            </w:r>
            <w:r w:rsidR="00D17566">
              <w:rPr>
                <w:noProof/>
                <w:webHidden/>
              </w:rPr>
              <w:instrText xml:space="preserve"> PAGEREF _Toc369087038 \h </w:instrText>
            </w:r>
            <w:r w:rsidR="00D17566">
              <w:rPr>
                <w:noProof/>
                <w:webHidden/>
              </w:rPr>
            </w:r>
            <w:r w:rsidR="00D17566">
              <w:rPr>
                <w:noProof/>
                <w:webHidden/>
              </w:rPr>
              <w:fldChar w:fldCharType="separate"/>
            </w:r>
            <w:r w:rsidR="00AB601C">
              <w:rPr>
                <w:noProof/>
                <w:webHidden/>
              </w:rPr>
              <w:t>67</w:t>
            </w:r>
            <w:r w:rsidR="00D17566">
              <w:rPr>
                <w:noProof/>
                <w:webHidden/>
              </w:rPr>
              <w:fldChar w:fldCharType="end"/>
            </w:r>
          </w:hyperlink>
        </w:p>
        <w:p w:rsidR="00D17566" w:rsidRDefault="00645938">
          <w:pPr>
            <w:pStyle w:val="TOC4"/>
            <w:tabs>
              <w:tab w:val="right" w:leader="dot" w:pos="9350"/>
            </w:tabs>
            <w:rPr>
              <w:rFonts w:asciiTheme="minorHAnsi" w:eastAsiaTheme="minorEastAsia" w:hAnsiTheme="minorHAnsi" w:cstheme="minorBidi"/>
              <w:noProof/>
              <w:sz w:val="22"/>
              <w:szCs w:val="22"/>
            </w:rPr>
          </w:pPr>
          <w:hyperlink w:anchor="_Toc369087039" w:history="1">
            <w:r w:rsidR="00D17566" w:rsidRPr="00175CBC">
              <w:rPr>
                <w:rStyle w:val="Hyperlink"/>
                <w:noProof/>
              </w:rPr>
              <w:t>Table 17: Powder River Basin 2006 NOx Emission Sources (tpy)</w:t>
            </w:r>
            <w:r w:rsidR="00D17566">
              <w:rPr>
                <w:noProof/>
                <w:webHidden/>
              </w:rPr>
              <w:tab/>
            </w:r>
            <w:r w:rsidR="00D17566">
              <w:rPr>
                <w:noProof/>
                <w:webHidden/>
              </w:rPr>
              <w:fldChar w:fldCharType="begin"/>
            </w:r>
            <w:r w:rsidR="00D17566">
              <w:rPr>
                <w:noProof/>
                <w:webHidden/>
              </w:rPr>
              <w:instrText xml:space="preserve"> PAGEREF _Toc369087039 \h </w:instrText>
            </w:r>
            <w:r w:rsidR="00D17566">
              <w:rPr>
                <w:noProof/>
                <w:webHidden/>
              </w:rPr>
            </w:r>
            <w:r w:rsidR="00D17566">
              <w:rPr>
                <w:noProof/>
                <w:webHidden/>
              </w:rPr>
              <w:fldChar w:fldCharType="separate"/>
            </w:r>
            <w:r w:rsidR="00AB601C">
              <w:rPr>
                <w:noProof/>
                <w:webHidden/>
              </w:rPr>
              <w:t>68</w:t>
            </w:r>
            <w:r w:rsidR="00D17566">
              <w:rPr>
                <w:noProof/>
                <w:webHidden/>
              </w:rPr>
              <w:fldChar w:fldCharType="end"/>
            </w:r>
          </w:hyperlink>
        </w:p>
        <w:p w:rsidR="00D17566" w:rsidRDefault="00645938">
          <w:pPr>
            <w:pStyle w:val="TOC4"/>
            <w:tabs>
              <w:tab w:val="right" w:leader="dot" w:pos="9350"/>
            </w:tabs>
            <w:rPr>
              <w:noProof/>
            </w:rPr>
          </w:pPr>
          <w:hyperlink w:anchor="_Toc369087040" w:history="1">
            <w:r w:rsidR="00D17566" w:rsidRPr="00175CBC">
              <w:rPr>
                <w:rStyle w:val="Hyperlink"/>
                <w:noProof/>
              </w:rPr>
              <w:t>Table 18: Powder River Basin 2006 VOC Emission Sources (tpy)</w:t>
            </w:r>
            <w:r w:rsidR="00D17566">
              <w:rPr>
                <w:noProof/>
                <w:webHidden/>
              </w:rPr>
              <w:tab/>
            </w:r>
            <w:r w:rsidR="00D17566">
              <w:rPr>
                <w:noProof/>
                <w:webHidden/>
              </w:rPr>
              <w:fldChar w:fldCharType="begin"/>
            </w:r>
            <w:r w:rsidR="00D17566">
              <w:rPr>
                <w:noProof/>
                <w:webHidden/>
              </w:rPr>
              <w:instrText xml:space="preserve"> PAGEREF _Toc369087040 \h </w:instrText>
            </w:r>
            <w:r w:rsidR="00D17566">
              <w:rPr>
                <w:noProof/>
                <w:webHidden/>
              </w:rPr>
            </w:r>
            <w:r w:rsidR="00D17566">
              <w:rPr>
                <w:noProof/>
                <w:webHidden/>
              </w:rPr>
              <w:fldChar w:fldCharType="separate"/>
            </w:r>
            <w:r w:rsidR="00AB601C">
              <w:rPr>
                <w:noProof/>
                <w:webHidden/>
              </w:rPr>
              <w:t>69</w:t>
            </w:r>
            <w:r w:rsidR="00D17566">
              <w:rPr>
                <w:noProof/>
                <w:webHidden/>
              </w:rPr>
              <w:fldChar w:fldCharType="end"/>
            </w:r>
          </w:hyperlink>
        </w:p>
        <w:p w:rsidR="0080443E" w:rsidRPr="0080443E" w:rsidRDefault="0080443E" w:rsidP="0080443E">
          <w:pPr>
            <w:rPr>
              <w:noProof/>
            </w:rPr>
          </w:pPr>
        </w:p>
        <w:p w:rsidR="0080443E" w:rsidRPr="0080443E" w:rsidRDefault="0080443E" w:rsidP="0080443E">
          <w:pPr>
            <w:rPr>
              <w:rFonts w:eastAsiaTheme="minorEastAsia"/>
              <w:noProof/>
            </w:rPr>
          </w:pPr>
        </w:p>
        <w:p w:rsidR="00D17566" w:rsidRDefault="00645938">
          <w:pPr>
            <w:pStyle w:val="TOC3"/>
            <w:tabs>
              <w:tab w:val="right" w:leader="dot" w:pos="9350"/>
            </w:tabs>
            <w:rPr>
              <w:rFonts w:asciiTheme="minorHAnsi" w:eastAsiaTheme="minorEastAsia" w:hAnsiTheme="minorHAnsi" w:cstheme="minorBidi"/>
              <w:noProof/>
              <w:sz w:val="22"/>
              <w:szCs w:val="22"/>
            </w:rPr>
          </w:pPr>
          <w:hyperlink w:anchor="_Toc369087041" w:history="1">
            <w:r w:rsidR="00D17566" w:rsidRPr="00175CBC">
              <w:rPr>
                <w:rStyle w:val="Hyperlink"/>
                <w:noProof/>
              </w:rPr>
              <w:t>SW Wyoming (Green River) Basin 2006 Emissions</w:t>
            </w:r>
            <w:r w:rsidR="00D17566">
              <w:rPr>
                <w:noProof/>
                <w:webHidden/>
              </w:rPr>
              <w:tab/>
            </w:r>
            <w:r w:rsidR="00D17566">
              <w:rPr>
                <w:noProof/>
                <w:webHidden/>
              </w:rPr>
              <w:fldChar w:fldCharType="begin"/>
            </w:r>
            <w:r w:rsidR="00D17566">
              <w:rPr>
                <w:noProof/>
                <w:webHidden/>
              </w:rPr>
              <w:instrText xml:space="preserve"> PAGEREF _Toc369087041 \h </w:instrText>
            </w:r>
            <w:r w:rsidR="00D17566">
              <w:rPr>
                <w:noProof/>
                <w:webHidden/>
              </w:rPr>
            </w:r>
            <w:r w:rsidR="00D17566">
              <w:rPr>
                <w:noProof/>
                <w:webHidden/>
              </w:rPr>
              <w:fldChar w:fldCharType="separate"/>
            </w:r>
            <w:r w:rsidR="00AB601C">
              <w:rPr>
                <w:noProof/>
                <w:webHidden/>
              </w:rPr>
              <w:t>71</w:t>
            </w:r>
            <w:r w:rsidR="00D17566">
              <w:rPr>
                <w:noProof/>
                <w:webHidden/>
              </w:rPr>
              <w:fldChar w:fldCharType="end"/>
            </w:r>
          </w:hyperlink>
        </w:p>
        <w:p w:rsidR="00D17566" w:rsidRDefault="00645938">
          <w:pPr>
            <w:pStyle w:val="TOC4"/>
            <w:tabs>
              <w:tab w:val="right" w:leader="dot" w:pos="9350"/>
            </w:tabs>
            <w:rPr>
              <w:rFonts w:asciiTheme="minorHAnsi" w:eastAsiaTheme="minorEastAsia" w:hAnsiTheme="minorHAnsi" w:cstheme="minorBidi"/>
              <w:noProof/>
              <w:sz w:val="22"/>
              <w:szCs w:val="22"/>
            </w:rPr>
          </w:pPr>
          <w:hyperlink w:anchor="_Toc369087042" w:history="1">
            <w:r w:rsidR="00D17566" w:rsidRPr="00175CBC">
              <w:rPr>
                <w:rStyle w:val="Hyperlink"/>
                <w:noProof/>
              </w:rPr>
              <w:t>Figure 9: SW Wyoming Basin Boundaries Overlaid With 2006 O&amp;G Well Locations</w:t>
            </w:r>
            <w:r w:rsidR="00D17566">
              <w:rPr>
                <w:noProof/>
                <w:webHidden/>
              </w:rPr>
              <w:tab/>
            </w:r>
            <w:r w:rsidR="00D17566">
              <w:rPr>
                <w:noProof/>
                <w:webHidden/>
              </w:rPr>
              <w:fldChar w:fldCharType="begin"/>
            </w:r>
            <w:r w:rsidR="00D17566">
              <w:rPr>
                <w:noProof/>
                <w:webHidden/>
              </w:rPr>
              <w:instrText xml:space="preserve"> PAGEREF _Toc369087042 \h </w:instrText>
            </w:r>
            <w:r w:rsidR="00D17566">
              <w:rPr>
                <w:noProof/>
                <w:webHidden/>
              </w:rPr>
            </w:r>
            <w:r w:rsidR="00D17566">
              <w:rPr>
                <w:noProof/>
                <w:webHidden/>
              </w:rPr>
              <w:fldChar w:fldCharType="separate"/>
            </w:r>
            <w:r w:rsidR="00AB601C">
              <w:rPr>
                <w:noProof/>
                <w:webHidden/>
              </w:rPr>
              <w:t>71</w:t>
            </w:r>
            <w:r w:rsidR="00D17566">
              <w:rPr>
                <w:noProof/>
                <w:webHidden/>
              </w:rPr>
              <w:fldChar w:fldCharType="end"/>
            </w:r>
          </w:hyperlink>
        </w:p>
        <w:p w:rsidR="00D17566" w:rsidRDefault="00645938">
          <w:pPr>
            <w:pStyle w:val="TOC4"/>
            <w:tabs>
              <w:tab w:val="right" w:leader="dot" w:pos="9350"/>
            </w:tabs>
            <w:rPr>
              <w:rFonts w:asciiTheme="minorHAnsi" w:eastAsiaTheme="minorEastAsia" w:hAnsiTheme="minorHAnsi" w:cstheme="minorBidi"/>
              <w:noProof/>
              <w:sz w:val="22"/>
              <w:szCs w:val="22"/>
            </w:rPr>
          </w:pPr>
          <w:hyperlink w:anchor="_Toc369087043" w:history="1">
            <w:r w:rsidR="00D17566" w:rsidRPr="00175CBC">
              <w:rPr>
                <w:rStyle w:val="Hyperlink"/>
                <w:noProof/>
              </w:rPr>
              <w:t>Table 19: SW Wyoming Basin 2006 NOx Emission Sources (tpy)</w:t>
            </w:r>
            <w:r w:rsidR="00D17566">
              <w:rPr>
                <w:noProof/>
                <w:webHidden/>
              </w:rPr>
              <w:tab/>
            </w:r>
            <w:r w:rsidR="00D17566">
              <w:rPr>
                <w:noProof/>
                <w:webHidden/>
              </w:rPr>
              <w:fldChar w:fldCharType="begin"/>
            </w:r>
            <w:r w:rsidR="00D17566">
              <w:rPr>
                <w:noProof/>
                <w:webHidden/>
              </w:rPr>
              <w:instrText xml:space="preserve"> PAGEREF _Toc369087043 \h </w:instrText>
            </w:r>
            <w:r w:rsidR="00D17566">
              <w:rPr>
                <w:noProof/>
                <w:webHidden/>
              </w:rPr>
            </w:r>
            <w:r w:rsidR="00D17566">
              <w:rPr>
                <w:noProof/>
                <w:webHidden/>
              </w:rPr>
              <w:fldChar w:fldCharType="separate"/>
            </w:r>
            <w:r w:rsidR="00AB601C">
              <w:rPr>
                <w:noProof/>
                <w:webHidden/>
              </w:rPr>
              <w:t>72</w:t>
            </w:r>
            <w:r w:rsidR="00D17566">
              <w:rPr>
                <w:noProof/>
                <w:webHidden/>
              </w:rPr>
              <w:fldChar w:fldCharType="end"/>
            </w:r>
          </w:hyperlink>
        </w:p>
        <w:p w:rsidR="00D17566" w:rsidRDefault="00645938">
          <w:pPr>
            <w:pStyle w:val="TOC4"/>
            <w:tabs>
              <w:tab w:val="right" w:leader="dot" w:pos="9350"/>
            </w:tabs>
            <w:rPr>
              <w:rStyle w:val="Hyperlink"/>
              <w:noProof/>
            </w:rPr>
          </w:pPr>
          <w:hyperlink w:anchor="_Toc369087044" w:history="1">
            <w:r w:rsidR="00D17566" w:rsidRPr="00175CBC">
              <w:rPr>
                <w:rStyle w:val="Hyperlink"/>
                <w:noProof/>
              </w:rPr>
              <w:t>Table 20: SW Wyoming Basin 2006 VOC Emission Sources (tpy)</w:t>
            </w:r>
            <w:r w:rsidR="00D17566">
              <w:rPr>
                <w:noProof/>
                <w:webHidden/>
              </w:rPr>
              <w:tab/>
            </w:r>
            <w:r w:rsidR="00D17566">
              <w:rPr>
                <w:noProof/>
                <w:webHidden/>
              </w:rPr>
              <w:fldChar w:fldCharType="begin"/>
            </w:r>
            <w:r w:rsidR="00D17566">
              <w:rPr>
                <w:noProof/>
                <w:webHidden/>
              </w:rPr>
              <w:instrText xml:space="preserve"> PAGEREF _Toc369087044 \h </w:instrText>
            </w:r>
            <w:r w:rsidR="00D17566">
              <w:rPr>
                <w:noProof/>
                <w:webHidden/>
              </w:rPr>
            </w:r>
            <w:r w:rsidR="00D17566">
              <w:rPr>
                <w:noProof/>
                <w:webHidden/>
              </w:rPr>
              <w:fldChar w:fldCharType="separate"/>
            </w:r>
            <w:r w:rsidR="00AB601C">
              <w:rPr>
                <w:noProof/>
                <w:webHidden/>
              </w:rPr>
              <w:t>72</w:t>
            </w:r>
            <w:r w:rsidR="00D17566">
              <w:rPr>
                <w:noProof/>
                <w:webHidden/>
              </w:rPr>
              <w:fldChar w:fldCharType="end"/>
            </w:r>
          </w:hyperlink>
        </w:p>
        <w:p w:rsidR="00D17566" w:rsidRPr="00D17566" w:rsidRDefault="00D17566" w:rsidP="00D17566">
          <w:pPr>
            <w:rPr>
              <w:rFonts w:eastAsiaTheme="minorEastAsia"/>
              <w:noProof/>
            </w:rPr>
          </w:pPr>
        </w:p>
        <w:p w:rsidR="00D17566" w:rsidRDefault="00645938">
          <w:pPr>
            <w:pStyle w:val="TOC3"/>
            <w:tabs>
              <w:tab w:val="right" w:leader="dot" w:pos="9350"/>
            </w:tabs>
            <w:rPr>
              <w:rFonts w:asciiTheme="minorHAnsi" w:eastAsiaTheme="minorEastAsia" w:hAnsiTheme="minorHAnsi" w:cstheme="minorBidi"/>
              <w:noProof/>
              <w:sz w:val="22"/>
              <w:szCs w:val="22"/>
            </w:rPr>
          </w:pPr>
          <w:hyperlink w:anchor="_Toc369087045" w:history="1">
            <w:r w:rsidR="00D17566" w:rsidRPr="00175CBC">
              <w:rPr>
                <w:rStyle w:val="Hyperlink"/>
                <w:noProof/>
              </w:rPr>
              <w:t>Williston Basin 2009 Emissions</w:t>
            </w:r>
            <w:r w:rsidR="00D17566">
              <w:rPr>
                <w:noProof/>
                <w:webHidden/>
              </w:rPr>
              <w:tab/>
            </w:r>
            <w:r w:rsidR="00D17566">
              <w:rPr>
                <w:noProof/>
                <w:webHidden/>
              </w:rPr>
              <w:fldChar w:fldCharType="begin"/>
            </w:r>
            <w:r w:rsidR="00D17566">
              <w:rPr>
                <w:noProof/>
                <w:webHidden/>
              </w:rPr>
              <w:instrText xml:space="preserve"> PAGEREF _Toc369087045 \h </w:instrText>
            </w:r>
            <w:r w:rsidR="00D17566">
              <w:rPr>
                <w:noProof/>
                <w:webHidden/>
              </w:rPr>
            </w:r>
            <w:r w:rsidR="00D17566">
              <w:rPr>
                <w:noProof/>
                <w:webHidden/>
              </w:rPr>
              <w:fldChar w:fldCharType="separate"/>
            </w:r>
            <w:r w:rsidR="00AB601C">
              <w:rPr>
                <w:noProof/>
                <w:webHidden/>
              </w:rPr>
              <w:t>75</w:t>
            </w:r>
            <w:r w:rsidR="00D17566">
              <w:rPr>
                <w:noProof/>
                <w:webHidden/>
              </w:rPr>
              <w:fldChar w:fldCharType="end"/>
            </w:r>
          </w:hyperlink>
        </w:p>
        <w:p w:rsidR="00D17566" w:rsidRDefault="00645938">
          <w:pPr>
            <w:pStyle w:val="TOC4"/>
            <w:tabs>
              <w:tab w:val="right" w:leader="dot" w:pos="9350"/>
            </w:tabs>
            <w:rPr>
              <w:rFonts w:asciiTheme="minorHAnsi" w:eastAsiaTheme="minorEastAsia" w:hAnsiTheme="minorHAnsi" w:cstheme="minorBidi"/>
              <w:noProof/>
              <w:sz w:val="22"/>
              <w:szCs w:val="22"/>
            </w:rPr>
          </w:pPr>
          <w:hyperlink w:anchor="_Toc369087046" w:history="1">
            <w:r w:rsidR="00D17566" w:rsidRPr="00175CBC">
              <w:rPr>
                <w:rStyle w:val="Hyperlink"/>
                <w:noProof/>
              </w:rPr>
              <w:t>Figure 10: Williston Basin Boundaries Overlaid With 2009 O&amp;G Well Locations</w:t>
            </w:r>
            <w:r w:rsidR="00D17566">
              <w:rPr>
                <w:noProof/>
                <w:webHidden/>
              </w:rPr>
              <w:tab/>
            </w:r>
            <w:r w:rsidR="00D17566">
              <w:rPr>
                <w:noProof/>
                <w:webHidden/>
              </w:rPr>
              <w:fldChar w:fldCharType="begin"/>
            </w:r>
            <w:r w:rsidR="00D17566">
              <w:rPr>
                <w:noProof/>
                <w:webHidden/>
              </w:rPr>
              <w:instrText xml:space="preserve"> PAGEREF _Toc369087046 \h </w:instrText>
            </w:r>
            <w:r w:rsidR="00D17566">
              <w:rPr>
                <w:noProof/>
                <w:webHidden/>
              </w:rPr>
            </w:r>
            <w:r w:rsidR="00D17566">
              <w:rPr>
                <w:noProof/>
                <w:webHidden/>
              </w:rPr>
              <w:fldChar w:fldCharType="separate"/>
            </w:r>
            <w:r w:rsidR="00AB601C">
              <w:rPr>
                <w:noProof/>
                <w:webHidden/>
              </w:rPr>
              <w:t>75</w:t>
            </w:r>
            <w:r w:rsidR="00D17566">
              <w:rPr>
                <w:noProof/>
                <w:webHidden/>
              </w:rPr>
              <w:fldChar w:fldCharType="end"/>
            </w:r>
          </w:hyperlink>
        </w:p>
        <w:p w:rsidR="00D17566" w:rsidRDefault="00645938">
          <w:pPr>
            <w:pStyle w:val="TOC4"/>
            <w:tabs>
              <w:tab w:val="right" w:leader="dot" w:pos="9350"/>
            </w:tabs>
            <w:rPr>
              <w:rFonts w:asciiTheme="minorHAnsi" w:eastAsiaTheme="minorEastAsia" w:hAnsiTheme="minorHAnsi" w:cstheme="minorBidi"/>
              <w:noProof/>
              <w:sz w:val="22"/>
              <w:szCs w:val="22"/>
            </w:rPr>
          </w:pPr>
          <w:hyperlink w:anchor="_Toc369087047" w:history="1">
            <w:r w:rsidR="00D17566" w:rsidRPr="00175CBC">
              <w:rPr>
                <w:rStyle w:val="Hyperlink"/>
                <w:noProof/>
              </w:rPr>
              <w:t>Table 21: Williston Basin 2009 NOx Emission Sources (tpy)</w:t>
            </w:r>
            <w:r w:rsidR="00D17566">
              <w:rPr>
                <w:noProof/>
                <w:webHidden/>
              </w:rPr>
              <w:tab/>
            </w:r>
            <w:r w:rsidR="00D17566">
              <w:rPr>
                <w:noProof/>
                <w:webHidden/>
              </w:rPr>
              <w:fldChar w:fldCharType="begin"/>
            </w:r>
            <w:r w:rsidR="00D17566">
              <w:rPr>
                <w:noProof/>
                <w:webHidden/>
              </w:rPr>
              <w:instrText xml:space="preserve"> PAGEREF _Toc369087047 \h </w:instrText>
            </w:r>
            <w:r w:rsidR="00D17566">
              <w:rPr>
                <w:noProof/>
                <w:webHidden/>
              </w:rPr>
            </w:r>
            <w:r w:rsidR="00D17566">
              <w:rPr>
                <w:noProof/>
                <w:webHidden/>
              </w:rPr>
              <w:fldChar w:fldCharType="separate"/>
            </w:r>
            <w:r w:rsidR="00AB601C">
              <w:rPr>
                <w:noProof/>
                <w:webHidden/>
              </w:rPr>
              <w:t>76</w:t>
            </w:r>
            <w:r w:rsidR="00D17566">
              <w:rPr>
                <w:noProof/>
                <w:webHidden/>
              </w:rPr>
              <w:fldChar w:fldCharType="end"/>
            </w:r>
          </w:hyperlink>
        </w:p>
        <w:p w:rsidR="00D17566" w:rsidRDefault="00645938">
          <w:pPr>
            <w:pStyle w:val="TOC4"/>
            <w:tabs>
              <w:tab w:val="right" w:leader="dot" w:pos="9350"/>
            </w:tabs>
            <w:rPr>
              <w:rStyle w:val="Hyperlink"/>
              <w:noProof/>
            </w:rPr>
          </w:pPr>
          <w:hyperlink w:anchor="_Toc369087048" w:history="1">
            <w:r w:rsidR="00D17566" w:rsidRPr="00175CBC">
              <w:rPr>
                <w:rStyle w:val="Hyperlink"/>
                <w:noProof/>
              </w:rPr>
              <w:t>Table 22: Williston Basin 2009 VOC Emission Sources (tpy)</w:t>
            </w:r>
            <w:r w:rsidR="00D17566">
              <w:rPr>
                <w:noProof/>
                <w:webHidden/>
              </w:rPr>
              <w:tab/>
            </w:r>
            <w:r w:rsidR="00D17566">
              <w:rPr>
                <w:noProof/>
                <w:webHidden/>
              </w:rPr>
              <w:fldChar w:fldCharType="begin"/>
            </w:r>
            <w:r w:rsidR="00D17566">
              <w:rPr>
                <w:noProof/>
                <w:webHidden/>
              </w:rPr>
              <w:instrText xml:space="preserve"> PAGEREF _Toc369087048 \h </w:instrText>
            </w:r>
            <w:r w:rsidR="00D17566">
              <w:rPr>
                <w:noProof/>
                <w:webHidden/>
              </w:rPr>
            </w:r>
            <w:r w:rsidR="00D17566">
              <w:rPr>
                <w:noProof/>
                <w:webHidden/>
              </w:rPr>
              <w:fldChar w:fldCharType="separate"/>
            </w:r>
            <w:r w:rsidR="00AB601C">
              <w:rPr>
                <w:noProof/>
                <w:webHidden/>
              </w:rPr>
              <w:t>77</w:t>
            </w:r>
            <w:r w:rsidR="00D17566">
              <w:rPr>
                <w:noProof/>
                <w:webHidden/>
              </w:rPr>
              <w:fldChar w:fldCharType="end"/>
            </w:r>
          </w:hyperlink>
        </w:p>
        <w:p w:rsidR="00D17566" w:rsidRPr="00D17566" w:rsidRDefault="00D17566" w:rsidP="00D17566">
          <w:pPr>
            <w:rPr>
              <w:rFonts w:eastAsiaTheme="minorEastAsia"/>
              <w:noProof/>
            </w:rPr>
          </w:pPr>
        </w:p>
        <w:p w:rsidR="00D17566" w:rsidRDefault="00645938">
          <w:pPr>
            <w:pStyle w:val="TOC1"/>
            <w:tabs>
              <w:tab w:val="right" w:leader="dot" w:pos="9350"/>
            </w:tabs>
            <w:rPr>
              <w:rFonts w:asciiTheme="minorHAnsi" w:eastAsiaTheme="minorEastAsia" w:hAnsiTheme="minorHAnsi" w:cstheme="minorBidi"/>
              <w:noProof/>
              <w:sz w:val="22"/>
              <w:szCs w:val="22"/>
            </w:rPr>
          </w:pPr>
          <w:hyperlink w:anchor="_Toc369087049" w:history="1">
            <w:r w:rsidR="00D17566" w:rsidRPr="00175CBC">
              <w:rPr>
                <w:rStyle w:val="Hyperlink"/>
                <w:noProof/>
              </w:rPr>
              <w:t>6.  BLM SPONSORED MONTANA GREAT PLAINS &amp; WILLISTON BASIN EI</w:t>
            </w:r>
            <w:r w:rsidR="00D17566">
              <w:rPr>
                <w:noProof/>
                <w:webHidden/>
              </w:rPr>
              <w:tab/>
            </w:r>
            <w:r w:rsidR="00D17566">
              <w:rPr>
                <w:noProof/>
                <w:webHidden/>
              </w:rPr>
              <w:fldChar w:fldCharType="begin"/>
            </w:r>
            <w:r w:rsidR="00D17566">
              <w:rPr>
                <w:noProof/>
                <w:webHidden/>
              </w:rPr>
              <w:instrText xml:space="preserve"> PAGEREF _Toc369087049 \h </w:instrText>
            </w:r>
            <w:r w:rsidR="00D17566">
              <w:rPr>
                <w:noProof/>
                <w:webHidden/>
              </w:rPr>
            </w:r>
            <w:r w:rsidR="00D17566">
              <w:rPr>
                <w:noProof/>
                <w:webHidden/>
              </w:rPr>
              <w:fldChar w:fldCharType="separate"/>
            </w:r>
            <w:r w:rsidR="00AB601C">
              <w:rPr>
                <w:noProof/>
                <w:webHidden/>
              </w:rPr>
              <w:t>78</w:t>
            </w:r>
            <w:r w:rsidR="00D17566">
              <w:rPr>
                <w:noProof/>
                <w:webHidden/>
              </w:rPr>
              <w:fldChar w:fldCharType="end"/>
            </w:r>
          </w:hyperlink>
        </w:p>
        <w:p w:rsidR="00651ED5" w:rsidRDefault="00E85D1A" w:rsidP="00C47C14">
          <w:pPr>
            <w:rPr>
              <w:b/>
              <w:bCs/>
              <w:noProof/>
            </w:rPr>
          </w:pPr>
          <w:r>
            <w:fldChar w:fldCharType="end"/>
          </w:r>
        </w:p>
      </w:sdtContent>
    </w:sdt>
    <w:p w:rsidR="00651ED5" w:rsidRDefault="00651ED5">
      <w:pPr>
        <w:rPr>
          <w:b/>
          <w:bCs/>
          <w:noProof/>
        </w:rPr>
      </w:pPr>
      <w:r>
        <w:rPr>
          <w:b/>
          <w:bCs/>
          <w:noProof/>
        </w:rPr>
        <w:br w:type="page"/>
      </w:r>
    </w:p>
    <w:p w:rsidR="00042617" w:rsidRPr="00EF36EA" w:rsidRDefault="00042617" w:rsidP="000B0BB8">
      <w:pPr>
        <w:pStyle w:val="Heading1"/>
        <w:rPr>
          <w:rFonts w:ascii="Times New Roman" w:hAnsi="Times New Roman" w:cs="Times New Roman"/>
          <w:b/>
          <w:color w:val="auto"/>
          <w:sz w:val="28"/>
          <w:szCs w:val="28"/>
        </w:rPr>
      </w:pPr>
      <w:bookmarkStart w:id="0" w:name="_Toc369086974"/>
      <w:r w:rsidRPr="00EF36EA">
        <w:rPr>
          <w:rFonts w:ascii="Times New Roman" w:hAnsi="Times New Roman" w:cs="Times New Roman"/>
          <w:b/>
          <w:color w:val="auto"/>
          <w:sz w:val="28"/>
          <w:szCs w:val="28"/>
        </w:rPr>
        <w:lastRenderedPageBreak/>
        <w:t>EXECUTIVE SUMMARY</w:t>
      </w:r>
      <w:bookmarkEnd w:id="0"/>
      <w:r w:rsidR="00E21C92" w:rsidRPr="00EF36EA">
        <w:rPr>
          <w:rFonts w:ascii="Times New Roman" w:hAnsi="Times New Roman" w:cs="Times New Roman"/>
          <w:b/>
          <w:color w:val="auto"/>
          <w:sz w:val="28"/>
          <w:szCs w:val="28"/>
        </w:rPr>
        <w:fldChar w:fldCharType="begin"/>
      </w:r>
      <w:r w:rsidRPr="00EF36EA">
        <w:rPr>
          <w:rFonts w:ascii="Times New Roman" w:hAnsi="Times New Roman" w:cs="Times New Roman"/>
          <w:b/>
          <w:color w:val="auto"/>
          <w:sz w:val="28"/>
          <w:szCs w:val="28"/>
        </w:rPr>
        <w:instrText xml:space="preserve"> TC \l1 "</w:instrText>
      </w:r>
      <w:bookmarkStart w:id="1" w:name="_Toc363192305"/>
      <w:r w:rsidRPr="00EF36EA">
        <w:rPr>
          <w:rFonts w:ascii="Times New Roman" w:hAnsi="Times New Roman" w:cs="Times New Roman"/>
          <w:b/>
          <w:color w:val="auto"/>
          <w:sz w:val="28"/>
          <w:szCs w:val="28"/>
        </w:rPr>
        <w:instrText>EXECUTIVE SUMMARY</w:instrText>
      </w:r>
      <w:bookmarkEnd w:id="1"/>
      <w:r w:rsidR="00E21C92" w:rsidRPr="00EF36EA">
        <w:rPr>
          <w:rFonts w:ascii="Times New Roman" w:hAnsi="Times New Roman" w:cs="Times New Roman"/>
          <w:b/>
          <w:color w:val="auto"/>
          <w:sz w:val="28"/>
          <w:szCs w:val="28"/>
        </w:rPr>
        <w:fldChar w:fldCharType="end"/>
      </w:r>
    </w:p>
    <w:p w:rsidR="00042617" w:rsidRDefault="000426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885929" w:rsidRPr="00D15774" w:rsidRDefault="00351514">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T</w:t>
      </w:r>
      <w:r w:rsidR="00042617" w:rsidRPr="00D15774">
        <w:t xml:space="preserve">he </w:t>
      </w:r>
      <w:r w:rsidR="00885929" w:rsidRPr="00D15774">
        <w:t xml:space="preserve">primary </w:t>
      </w:r>
      <w:r w:rsidR="00042617" w:rsidRPr="00D15774">
        <w:t xml:space="preserve">intent of this analysis </w:t>
      </w:r>
      <w:r w:rsidR="00CB3EEA" w:rsidRPr="00D15774">
        <w:t>is</w:t>
      </w:r>
      <w:r w:rsidR="00042617" w:rsidRPr="00D15774">
        <w:t xml:space="preserve"> to examine the effect that two </w:t>
      </w:r>
      <w:r w:rsidR="007C3A60" w:rsidRPr="00D15774">
        <w:t>recent</w:t>
      </w:r>
      <w:r w:rsidR="00042617" w:rsidRPr="00D15774">
        <w:t xml:space="preserve"> </w:t>
      </w:r>
      <w:r w:rsidR="00956808" w:rsidRPr="00D15774">
        <w:t>federal</w:t>
      </w:r>
      <w:r w:rsidR="00042617" w:rsidRPr="00D15774">
        <w:t xml:space="preserve"> air quality actions might have on the air pollution emissions from the oil and natural gas (O&amp;G) industry exploration and production sector</w:t>
      </w:r>
      <w:r w:rsidR="009F2805" w:rsidRPr="00D15774">
        <w:t xml:space="preserve"> in the WRAP regio</w:t>
      </w:r>
      <w:r w:rsidR="00EF5280" w:rsidRPr="00D15774">
        <w:t>n of the western United States</w:t>
      </w:r>
      <w:r w:rsidR="009F2805" w:rsidRPr="00D15774">
        <w:t xml:space="preserve">.  </w:t>
      </w:r>
    </w:p>
    <w:p w:rsidR="00885929" w:rsidRPr="00D15774" w:rsidRDefault="0088592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885929" w:rsidRPr="00D15774" w:rsidRDefault="00885929" w:rsidP="00A63564">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 xml:space="preserve">The first of the two </w:t>
      </w:r>
      <w:r w:rsidR="0080443E">
        <w:t>recent</w:t>
      </w:r>
      <w:r w:rsidR="00BB3CCB" w:rsidRPr="00D15774">
        <w:t xml:space="preserve"> </w:t>
      </w:r>
      <w:r w:rsidRPr="00D15774">
        <w:t>federal actions considered here is a Federal Implementation Plan (FIP) known as “Review of New Sources and Modifications in Indian Country</w:t>
      </w:r>
      <w:r w:rsidR="00A63564" w:rsidRPr="00D15774">
        <w:t xml:space="preserve">.  </w:t>
      </w:r>
      <w:r w:rsidR="00A651AE" w:rsidRPr="00D15774">
        <w:t xml:space="preserve">The second federal action considered here is the issuance of a suite of four air regulations for the oil and natural gas industry: 1) a New Source Performance Standard (NSPS Subpart OOOO) for VOCs; 2) a New Source Performance Standard (NSPS Subpart OOOO) for sulfur dioxide; 3) a National Emissions Standard for Hazardous Air Pollutants (NESHAP Subpart HH) for oil and natural gas production; and 4) a National Emissions Standard for Hazardous Air Pollutants (NESHAP Subpart HHH) for natural gas transmission and storage.  </w:t>
      </w:r>
    </w:p>
    <w:p w:rsidR="00885929" w:rsidRPr="00D15774" w:rsidRDefault="0088592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026125" w:rsidRPr="00D15774" w:rsidRDefault="00B05F55" w:rsidP="00B05F55">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The NSPS/NESHAP regulations focus on VOC</w:t>
      </w:r>
      <w:r w:rsidR="00A651AE" w:rsidRPr="00D15774">
        <w:t xml:space="preserve">s, </w:t>
      </w:r>
      <w:r w:rsidRPr="00D15774">
        <w:t>but EPA has had other NSPS in place for a number of years which focus on control of combustion emissions.  These NSPS include Subpart Db and Dc for boilers, Subpart IIII for stationary compression ignition (diesel) engines, Subpart JJJJ for stationary spark ignition engines and Subpart KKKK for stationary combustion turbines.  NOx is a major pollutant from these four source categorie</w:t>
      </w:r>
      <w:r w:rsidR="00A651AE" w:rsidRPr="00D15774">
        <w:t>s.</w:t>
      </w:r>
    </w:p>
    <w:p w:rsidR="00026125" w:rsidRPr="00D15774" w:rsidRDefault="00026125" w:rsidP="00B05F55">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B05F55" w:rsidRPr="00D15774" w:rsidRDefault="00026125" w:rsidP="00B05F55">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 xml:space="preserve">NOx is also emitted in large quantities from temporary engines in the fields that power such equipment as drill and workover rigs.  Since these engines generally operate </w:t>
      </w:r>
      <w:r w:rsidR="007D496B" w:rsidRPr="00D15774">
        <w:t>for some</w:t>
      </w:r>
      <w:r w:rsidRPr="00D15774">
        <w:t xml:space="preserve"> period of time less than a year at any one site before being relocated, EPA regulates these </w:t>
      </w:r>
      <w:r w:rsidR="007D496B" w:rsidRPr="00D15774">
        <w:t xml:space="preserve">temporary engines </w:t>
      </w:r>
      <w:r w:rsidRPr="00D15774">
        <w:t>as “Nonroad Mobile</w:t>
      </w:r>
      <w:r w:rsidR="00EB41BB" w:rsidRPr="00D15774">
        <w:t>” sources</w:t>
      </w:r>
      <w:r w:rsidR="0067651A" w:rsidRPr="00D15774">
        <w:t xml:space="preserve">.  So in addition to looking at the VOC impact of the </w:t>
      </w:r>
      <w:r w:rsidR="003D38E7">
        <w:t>recent</w:t>
      </w:r>
      <w:r w:rsidR="0067651A" w:rsidRPr="00D15774">
        <w:t xml:space="preserve"> federal O&amp;G actions, this analysis also examines the impact of previously existing federal rules on the NOx component of the inventories.</w:t>
      </w:r>
    </w:p>
    <w:p w:rsidR="00885929" w:rsidRPr="00D15774" w:rsidRDefault="0088592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A651AE" w:rsidRPr="00D15774" w:rsidRDefault="00A70D77" w:rsidP="00A651AE">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w:t>
      </w:r>
      <w:r w:rsidR="00A651AE" w:rsidRPr="00D15774">
        <w:t>his document also examines the O&amp;G emission control regulati</w:t>
      </w:r>
      <w:r w:rsidR="00BF2022">
        <w:t xml:space="preserve">ons </w:t>
      </w:r>
      <w:r w:rsidR="00A651AE" w:rsidRPr="00D15774">
        <w:t xml:space="preserve">currently </w:t>
      </w:r>
      <w:r w:rsidR="00BF2022">
        <w:t xml:space="preserve">in </w:t>
      </w:r>
      <w:r w:rsidR="00A651AE" w:rsidRPr="00D15774">
        <w:t>place in the western U.S. O&amp;G producing states to determine where the federal rules might overlap existing State rules and which O&amp;G source types could be affected by the federal rules.</w:t>
      </w:r>
    </w:p>
    <w:p w:rsidR="009F2805" w:rsidRPr="00D15774" w:rsidRDefault="009F2805">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5C3C42" w:rsidRDefault="000426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 xml:space="preserve">The seven O&amp;G producing states in the WRAP region interviewed for this analysis </w:t>
      </w:r>
      <w:r w:rsidR="006964B3" w:rsidRPr="00D15774">
        <w:t>consisted of</w:t>
      </w:r>
      <w:r w:rsidRPr="00D15774">
        <w:t xml:space="preserve"> Alaska, Colorado, Montana, New Mexico, North Dakota, Utah and Wyoming.</w:t>
      </w:r>
      <w:r w:rsidR="00CB3EEA" w:rsidRPr="00D15774">
        <w:t xml:space="preserve"> </w:t>
      </w:r>
      <w:r w:rsidRPr="00D15774">
        <w:t xml:space="preserve"> California </w:t>
      </w:r>
      <w:r w:rsidR="00351514" w:rsidRPr="00D15774">
        <w:t xml:space="preserve">is </w:t>
      </w:r>
      <w:r w:rsidRPr="00D15774">
        <w:t xml:space="preserve">also an O&amp;G producing state, but because control of O&amp;G exploration and production sector sources is handled by local Air Pollution Control Districts in that state rather than by the California Air Resources Board, it was not possible to contact each of these 35 </w:t>
      </w:r>
      <w:r w:rsidR="005C3C42" w:rsidRPr="00D15774">
        <w:t xml:space="preserve">California </w:t>
      </w:r>
      <w:r w:rsidRPr="00D15774">
        <w:t>Districts individually to assess their</w:t>
      </w:r>
      <w:r w:rsidR="00F81965" w:rsidRPr="00D15774">
        <w:t xml:space="preserve"> current regulations under the s</w:t>
      </w:r>
      <w:r w:rsidRPr="00D15774">
        <w:t>c</w:t>
      </w:r>
      <w:r w:rsidR="00497363" w:rsidRPr="00D15774">
        <w:t>ope of this project.</w:t>
      </w:r>
    </w:p>
    <w:p w:rsidR="00912D8A" w:rsidRDefault="00912D8A">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12D8A" w:rsidRPr="00D15774" w:rsidRDefault="00912D8A">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Finally this document describes the most current WRAP effort at evaluating O&amp;G operations, which is a BLM Sponsored emission inventory compilation for the Montana Great Plains and Williston Basins.  This effort will produce a 2011 year baseline emission inventory, along with projections 5-7 years into the future.</w:t>
      </w:r>
    </w:p>
    <w:p w:rsidR="005C3C42" w:rsidRPr="00D15774" w:rsidRDefault="005C3C42">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042617" w:rsidRPr="00D15774" w:rsidRDefault="000426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Th</w:t>
      </w:r>
      <w:r w:rsidR="00497363" w:rsidRPr="00D15774">
        <w:t>is</w:t>
      </w:r>
      <w:r w:rsidRPr="00D15774">
        <w:t xml:space="preserve"> analysis use</w:t>
      </w:r>
      <w:r w:rsidR="00A63564" w:rsidRPr="00D15774">
        <w:t>s</w:t>
      </w:r>
      <w:r w:rsidRPr="00D15774">
        <w:t xml:space="preserve"> data from the WRAP-Western Energy Alliance Phase III O&amp;G Emission Inventory project (</w:t>
      </w:r>
      <w:r w:rsidR="009F2805" w:rsidRPr="00D15774">
        <w:t xml:space="preserve">details posted at </w:t>
      </w:r>
      <w:hyperlink r:id="rId9" w:history="1">
        <w:r w:rsidRPr="00D15774">
          <w:rPr>
            <w:color w:val="0000FF"/>
            <w:u w:val="single"/>
          </w:rPr>
          <w:t>http://www.wrapair2.org/PhaseIII.aspx)</w:t>
        </w:r>
      </w:hyperlink>
      <w:r w:rsidR="005C3C42" w:rsidRPr="00D15774">
        <w:t>.  Th</w:t>
      </w:r>
      <w:r w:rsidR="006964B3" w:rsidRPr="00D15774">
        <w:t>ese</w:t>
      </w:r>
      <w:r w:rsidR="005C3C42" w:rsidRPr="00D15774">
        <w:t xml:space="preserve"> Phase III </w:t>
      </w:r>
      <w:r w:rsidR="006964B3" w:rsidRPr="00D15774">
        <w:t>O&amp;G emission totals</w:t>
      </w:r>
      <w:r w:rsidR="005C3C42" w:rsidRPr="00D15774">
        <w:t xml:space="preserve"> </w:t>
      </w:r>
      <w:r w:rsidR="006964B3" w:rsidRPr="00D15774">
        <w:t>reflecte</w:t>
      </w:r>
      <w:r w:rsidR="0038383A" w:rsidRPr="00D15774">
        <w:t>d</w:t>
      </w:r>
      <w:r w:rsidRPr="00D15774">
        <w:t xml:space="preserve"> O&amp;G </w:t>
      </w:r>
      <w:r w:rsidR="006964B3" w:rsidRPr="00D15774">
        <w:t xml:space="preserve">control </w:t>
      </w:r>
      <w:r w:rsidRPr="00D15774">
        <w:t>rules in place</w:t>
      </w:r>
      <w:r w:rsidR="006964B3" w:rsidRPr="00D15774">
        <w:t xml:space="preserve"> in the states</w:t>
      </w:r>
      <w:r w:rsidR="002A5E80" w:rsidRPr="00D15774">
        <w:t xml:space="preserve"> at the time th</w:t>
      </w:r>
      <w:r w:rsidR="00AB601C">
        <w:t>ose</w:t>
      </w:r>
      <w:r w:rsidRPr="00D15774">
        <w:t xml:space="preserve"> inventories were compiled</w:t>
      </w:r>
      <w:r w:rsidR="006964B3" w:rsidRPr="00D15774">
        <w:t xml:space="preserve">.  Some of the state regulations may have </w:t>
      </w:r>
      <w:r w:rsidR="002A5E80" w:rsidRPr="00D15774">
        <w:t>been updated since that time</w:t>
      </w:r>
      <w:r w:rsidRPr="00D15774">
        <w:t>.</w:t>
      </w:r>
    </w:p>
    <w:p w:rsidR="009B6735" w:rsidRPr="00D15774" w:rsidRDefault="009B6735">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B6735" w:rsidRPr="00D15774" w:rsidRDefault="009B6735" w:rsidP="009B6735">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 xml:space="preserve">The WRAP produced an initial copy of this analysis </w:t>
      </w:r>
      <w:r w:rsidR="006A1955">
        <w:t xml:space="preserve">on </w:t>
      </w:r>
      <w:r w:rsidRPr="00D15774">
        <w:t xml:space="preserve">November 28, 2011 (w/ January 8, 2012 Errata Corrections).  </w:t>
      </w:r>
      <w:r w:rsidR="007C3A60" w:rsidRPr="00D15774">
        <w:t>Since that time EPA has finalized the O&amp;G NSPS and new information has been gleaned from the states on some of their O&amp;G control programs.  Thus t</w:t>
      </w:r>
      <w:r w:rsidRPr="00D15774">
        <w:t>his current 2013 document provides an update to that initial 2011 report</w:t>
      </w:r>
      <w:r w:rsidR="00645938">
        <w:t xml:space="preserve"> addressing the changes that have </w:t>
      </w:r>
      <w:r w:rsidR="00AB601C">
        <w:t>occurred since 2011.</w:t>
      </w:r>
    </w:p>
    <w:p w:rsidR="00A651AE" w:rsidRPr="00D15774" w:rsidRDefault="00A651AE" w:rsidP="009B6735">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A24ED4" w:rsidRPr="00142696" w:rsidRDefault="00042617" w:rsidP="000B0BB8">
      <w:pPr>
        <w:pStyle w:val="Heading2"/>
        <w:rPr>
          <w:rFonts w:ascii="Times New Roman" w:hAnsi="Times New Roman" w:cs="Times New Roman"/>
          <w:b/>
          <w:color w:val="auto"/>
          <w:u w:val="single"/>
        </w:rPr>
      </w:pPr>
      <w:bookmarkStart w:id="2" w:name="_Toc369086975"/>
      <w:r w:rsidRPr="00142696">
        <w:rPr>
          <w:rFonts w:ascii="Times New Roman" w:hAnsi="Times New Roman" w:cs="Times New Roman"/>
          <w:b/>
          <w:color w:val="auto"/>
          <w:u w:val="single"/>
        </w:rPr>
        <w:t>Observations &amp; Conclusions</w:t>
      </w:r>
      <w:bookmarkEnd w:id="2"/>
      <w:r w:rsidR="0050104C" w:rsidRPr="00142696">
        <w:rPr>
          <w:rFonts w:ascii="Times New Roman" w:hAnsi="Times New Roman" w:cs="Times New Roman"/>
          <w:b/>
          <w:color w:val="auto"/>
          <w:u w:val="single"/>
        </w:rPr>
        <w:fldChar w:fldCharType="begin"/>
      </w:r>
      <w:r w:rsidR="0050104C" w:rsidRPr="00142696">
        <w:rPr>
          <w:rFonts w:ascii="Times New Roman" w:hAnsi="Times New Roman" w:cs="Times New Roman"/>
          <w:b/>
          <w:color w:val="auto"/>
          <w:u w:val="single"/>
        </w:rPr>
        <w:instrText xml:space="preserve"> TC \l2 "</w:instrText>
      </w:r>
      <w:bookmarkStart w:id="3" w:name="_Toc363192306"/>
      <w:r w:rsidR="0050104C" w:rsidRPr="00142696">
        <w:rPr>
          <w:rFonts w:ascii="Times New Roman" w:hAnsi="Times New Roman" w:cs="Times New Roman"/>
          <w:b/>
          <w:color w:val="auto"/>
          <w:u w:val="single"/>
        </w:rPr>
        <w:instrText>Observations &amp; Conclusions</w:instrText>
      </w:r>
      <w:bookmarkEnd w:id="3"/>
      <w:r w:rsidR="0050104C" w:rsidRPr="00142696">
        <w:rPr>
          <w:rFonts w:ascii="Times New Roman" w:hAnsi="Times New Roman" w:cs="Times New Roman"/>
          <w:b/>
          <w:color w:val="auto"/>
          <w:u w:val="single"/>
        </w:rPr>
        <w:fldChar w:fldCharType="end"/>
      </w:r>
    </w:p>
    <w:p w:rsidR="00A24ED4" w:rsidRPr="00D15774" w:rsidRDefault="00A24ED4">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u w:val="single"/>
        </w:rPr>
      </w:pPr>
    </w:p>
    <w:p w:rsidR="00042617" w:rsidRPr="00D15774" w:rsidRDefault="00A24ED4">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 xml:space="preserve">This section </w:t>
      </w:r>
      <w:r w:rsidR="007C3A60" w:rsidRPr="00D15774">
        <w:t xml:space="preserve">of the Executive Summary </w:t>
      </w:r>
      <w:r w:rsidRPr="00D15774">
        <w:t xml:space="preserve">attempts to </w:t>
      </w:r>
      <w:r w:rsidR="002A5E80" w:rsidRPr="00D15774">
        <w:t>describe</w:t>
      </w:r>
      <w:r w:rsidRPr="00D15774">
        <w:t xml:space="preserve"> in a general manner what emission changes are likely to occur with implementation of the two Federal </w:t>
      </w:r>
      <w:r w:rsidR="003D38E7">
        <w:t xml:space="preserve">O&amp;G </w:t>
      </w:r>
      <w:r w:rsidRPr="00D15774">
        <w:t>actions.</w:t>
      </w:r>
    </w:p>
    <w:p w:rsidR="00042617" w:rsidRPr="00D15774" w:rsidRDefault="000426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A82918" w:rsidRPr="00D15774" w:rsidRDefault="00A82918">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The Rocky Mountain O&amp;G b</w:t>
      </w:r>
      <w:r w:rsidR="00BA0ED4" w:rsidRPr="00D15774">
        <w:t>asins examined for</w:t>
      </w:r>
      <w:r w:rsidRPr="00D15774">
        <w:t xml:space="preserve"> this analysis are:</w:t>
      </w:r>
    </w:p>
    <w:p w:rsidR="00A24ED4" w:rsidRPr="00D15774" w:rsidRDefault="00A24ED4" w:rsidP="00A24ED4">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873A3" w:rsidRPr="00D15774" w:rsidRDefault="00D873A3" w:rsidP="00D873A3">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54" w:hanging="354"/>
      </w:pPr>
      <w:r w:rsidRPr="00D15774">
        <w:t>1)</w:t>
      </w:r>
      <w:r w:rsidRPr="00D15774">
        <w:tab/>
        <w:t>Denver-Julesburg Basin (northeast Colorado)</w:t>
      </w:r>
    </w:p>
    <w:p w:rsidR="00D873A3" w:rsidRPr="00D15774" w:rsidRDefault="00D873A3" w:rsidP="00D873A3">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54" w:hanging="354"/>
      </w:pPr>
      <w:r w:rsidRPr="00D15774">
        <w:t>2)</w:t>
      </w:r>
      <w:r w:rsidRPr="00D15774">
        <w:tab/>
        <w:t>Piceance Basin (northwestern Colorado)</w:t>
      </w:r>
    </w:p>
    <w:p w:rsidR="00D873A3" w:rsidRPr="00D15774" w:rsidRDefault="00D873A3" w:rsidP="00D873A3">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54" w:hanging="354"/>
      </w:pPr>
      <w:r w:rsidRPr="00D15774">
        <w:t>3)</w:t>
      </w:r>
      <w:r w:rsidRPr="00D15774">
        <w:tab/>
        <w:t>Uinta Basin (northeastern Utah)</w:t>
      </w:r>
    </w:p>
    <w:p w:rsidR="00D873A3" w:rsidRPr="00D15774" w:rsidRDefault="00D873A3" w:rsidP="00D873A3">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54" w:hanging="354"/>
      </w:pPr>
      <w:r w:rsidRPr="00D15774">
        <w:t>4)</w:t>
      </w:r>
      <w:r w:rsidRPr="00D15774">
        <w:tab/>
        <w:t>North San Juan Basin (southwest Colorado)</w:t>
      </w:r>
    </w:p>
    <w:p w:rsidR="00D873A3" w:rsidRPr="00D15774" w:rsidRDefault="00D873A3" w:rsidP="00D873A3">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54" w:hanging="354"/>
      </w:pPr>
      <w:r w:rsidRPr="00D15774">
        <w:t>5)</w:t>
      </w:r>
      <w:r w:rsidRPr="00D15774">
        <w:tab/>
        <w:t>South San Juan Basin (northwest New Mexico)</w:t>
      </w:r>
    </w:p>
    <w:p w:rsidR="00D873A3" w:rsidRPr="00D15774" w:rsidRDefault="00D873A3" w:rsidP="00D873A3">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54" w:hanging="354"/>
      </w:pPr>
      <w:r w:rsidRPr="00D15774">
        <w:t>6)</w:t>
      </w:r>
      <w:r w:rsidRPr="00D15774">
        <w:tab/>
        <w:t>Wind River Basin (central Wyoming)</w:t>
      </w:r>
    </w:p>
    <w:p w:rsidR="00D873A3" w:rsidRPr="00D15774" w:rsidRDefault="00D873A3" w:rsidP="00D873A3">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54" w:hanging="354"/>
      </w:pPr>
      <w:r w:rsidRPr="00D15774">
        <w:t>7)</w:t>
      </w:r>
      <w:r w:rsidRPr="00D15774">
        <w:tab/>
        <w:t>Powder River Basin (northeast Wyoming)</w:t>
      </w:r>
    </w:p>
    <w:p w:rsidR="00D873A3" w:rsidRPr="00D15774" w:rsidRDefault="00D873A3" w:rsidP="00D873A3">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54" w:hanging="354"/>
      </w:pPr>
      <w:r w:rsidRPr="00D15774">
        <w:t>8)</w:t>
      </w:r>
      <w:r w:rsidRPr="00D15774">
        <w:tab/>
        <w:t>Green River Basin (southwest Wyoming)</w:t>
      </w:r>
    </w:p>
    <w:p w:rsidR="00593FA9" w:rsidRPr="00D15774" w:rsidRDefault="00D873A3" w:rsidP="00EC229B">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54" w:hanging="354"/>
      </w:pPr>
      <w:r w:rsidRPr="00D15774">
        <w:t>9)</w:t>
      </w:r>
      <w:r w:rsidRPr="00D15774">
        <w:tab/>
        <w:t>Williston Basin (western North Dakota and eastern Montana)</w:t>
      </w:r>
    </w:p>
    <w:p w:rsidR="00593FA9" w:rsidRPr="00D15774" w:rsidRDefault="00593FA9" w:rsidP="00A24ED4">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593FA9" w:rsidRPr="00D15774" w:rsidRDefault="00190914" w:rsidP="009E440B">
      <w:pPr>
        <w:pStyle w:val="Heading3"/>
        <w:jc w:val="center"/>
        <w:rPr>
          <w:rFonts w:ascii="Times New Roman" w:hAnsi="Times New Roman" w:cs="Times New Roman"/>
          <w:color w:val="auto"/>
        </w:rPr>
      </w:pPr>
      <w:bookmarkStart w:id="4" w:name="_Toc369086976"/>
      <w:r w:rsidRPr="00D15774">
        <w:rPr>
          <w:rFonts w:ascii="Times New Roman" w:hAnsi="Times New Roman" w:cs="Times New Roman"/>
          <w:color w:val="auto"/>
        </w:rPr>
        <w:t>“</w:t>
      </w:r>
      <w:r w:rsidR="00765567" w:rsidRPr="00D15774">
        <w:rPr>
          <w:rFonts w:ascii="Times New Roman" w:hAnsi="Times New Roman" w:cs="Times New Roman"/>
          <w:color w:val="auto"/>
        </w:rPr>
        <w:t xml:space="preserve">Review </w:t>
      </w:r>
      <w:r w:rsidR="00593FA9" w:rsidRPr="00D15774">
        <w:rPr>
          <w:rFonts w:ascii="Times New Roman" w:hAnsi="Times New Roman" w:cs="Times New Roman"/>
          <w:color w:val="auto"/>
        </w:rPr>
        <w:t>of New Sources and Modifications in Indian Country” FIP</w:t>
      </w:r>
      <w:bookmarkEnd w:id="4"/>
    </w:p>
    <w:p w:rsidR="00765567" w:rsidRPr="00D15774" w:rsidRDefault="0076556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042617" w:rsidRPr="00D15774" w:rsidRDefault="00A24ED4">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 xml:space="preserve">Regarding the “Review of New Sources and Modifications in Indian Country” FIP, </w:t>
      </w:r>
      <w:r w:rsidR="00765567" w:rsidRPr="00D15774">
        <w:t>Tribal Lands</w:t>
      </w:r>
      <w:r w:rsidR="00042617" w:rsidRPr="00D15774">
        <w:t xml:space="preserve"> are dominant in two of the</w:t>
      </w:r>
      <w:r w:rsidR="00A82918" w:rsidRPr="00D15774">
        <w:t>se</w:t>
      </w:r>
      <w:r w:rsidR="00042617" w:rsidRPr="00D15774">
        <w:t xml:space="preserve"> </w:t>
      </w:r>
      <w:r w:rsidR="001F7FBB" w:rsidRPr="00D15774">
        <w:t xml:space="preserve">nine </w:t>
      </w:r>
      <w:r w:rsidR="003A7674" w:rsidRPr="00D15774">
        <w:t xml:space="preserve">Rocky Mountain </w:t>
      </w:r>
      <w:r w:rsidR="00042617" w:rsidRPr="00D15774">
        <w:t xml:space="preserve">O&amp;G basins; those being the Uinta and the North San Juan basins.  </w:t>
      </w:r>
      <w:r w:rsidR="00765567" w:rsidRPr="00D15774">
        <w:t>Tribal Lands</w:t>
      </w:r>
      <w:r w:rsidR="00042617" w:rsidRPr="00D15774">
        <w:t xml:space="preserve"> hold a significant number of </w:t>
      </w:r>
      <w:r w:rsidR="0038383A" w:rsidRPr="00D15774">
        <w:t xml:space="preserve">O&amp;G </w:t>
      </w:r>
      <w:r w:rsidR="00042617" w:rsidRPr="00D15774">
        <w:t>sources in two other basins; the South San Juan and the Wind River basin</w:t>
      </w:r>
      <w:r w:rsidR="00BC3C8B" w:rsidRPr="00D15774">
        <w:t>s</w:t>
      </w:r>
      <w:r w:rsidR="000842CB" w:rsidRPr="00D15774">
        <w:t>.</w:t>
      </w:r>
      <w:r w:rsidR="008F3F87" w:rsidRPr="00D15774">
        <w:t xml:space="preserve"> </w:t>
      </w:r>
      <w:r w:rsidR="000842CB" w:rsidRPr="00D15774">
        <w:t xml:space="preserve"> I</w:t>
      </w:r>
      <w:r w:rsidR="008F3F87" w:rsidRPr="00D15774">
        <w:t>n the Wyoming Powder River Basin</w:t>
      </w:r>
      <w:r w:rsidR="00EC229B" w:rsidRPr="00D15774">
        <w:t xml:space="preserve"> and</w:t>
      </w:r>
      <w:r w:rsidR="001F7FBB" w:rsidRPr="00D15774">
        <w:t xml:space="preserve"> in</w:t>
      </w:r>
      <w:r w:rsidR="00EC229B" w:rsidRPr="00D15774">
        <w:t xml:space="preserve"> the Williston Basin</w:t>
      </w:r>
      <w:r w:rsidR="008F3F87" w:rsidRPr="00D15774">
        <w:t xml:space="preserve"> </w:t>
      </w:r>
      <w:r w:rsidR="003A7674" w:rsidRPr="00D15774">
        <w:t>some</w:t>
      </w:r>
      <w:r w:rsidR="00EC229B" w:rsidRPr="00D15774">
        <w:t xml:space="preserve"> </w:t>
      </w:r>
      <w:r w:rsidR="001F7FBB" w:rsidRPr="00D15774">
        <w:t>production</w:t>
      </w:r>
      <w:r w:rsidR="00EC229B" w:rsidRPr="00D15774">
        <w:t xml:space="preserve"> </w:t>
      </w:r>
      <w:r w:rsidR="001F7FBB" w:rsidRPr="00D15774">
        <w:t>comes from</w:t>
      </w:r>
      <w:r w:rsidR="00EC229B" w:rsidRPr="00D15774">
        <w:t xml:space="preserve"> Tribal Lands</w:t>
      </w:r>
      <w:r w:rsidR="003A7674" w:rsidRPr="00D15774">
        <w:t>, but the numbers of O&amp;G sources</w:t>
      </w:r>
      <w:r w:rsidR="00BC3C8B" w:rsidRPr="00D15774">
        <w:t xml:space="preserve"> on </w:t>
      </w:r>
      <w:r w:rsidR="001F7FBB" w:rsidRPr="00D15774">
        <w:t xml:space="preserve">these </w:t>
      </w:r>
      <w:r w:rsidR="00765567" w:rsidRPr="00D15774">
        <w:t>Tribal Lands</w:t>
      </w:r>
      <w:r w:rsidR="00BC3C8B" w:rsidRPr="00D15774">
        <w:t xml:space="preserve"> </w:t>
      </w:r>
      <w:r w:rsidR="00EC229B" w:rsidRPr="00D15774">
        <w:t>represent a small portion of the total</w:t>
      </w:r>
      <w:r w:rsidR="004C2455" w:rsidRPr="00D15774">
        <w:t xml:space="preserve">. </w:t>
      </w:r>
      <w:r w:rsidR="000842CB" w:rsidRPr="00D15774">
        <w:t xml:space="preserve"> </w:t>
      </w:r>
      <w:r w:rsidR="00EC229B" w:rsidRPr="00D15774">
        <w:t>F</w:t>
      </w:r>
      <w:r w:rsidR="00BC3C8B" w:rsidRPr="00D15774">
        <w:t>inally, th</w:t>
      </w:r>
      <w:r w:rsidR="00593FA9" w:rsidRPr="00D15774">
        <w:t xml:space="preserve">ere are no </w:t>
      </w:r>
      <w:r w:rsidR="00765567" w:rsidRPr="00D15774">
        <w:t>Tribal Lands</w:t>
      </w:r>
      <w:r w:rsidR="00593FA9" w:rsidRPr="00D15774">
        <w:t xml:space="preserve"> located </w:t>
      </w:r>
      <w:r w:rsidR="001F7FBB" w:rsidRPr="00D15774">
        <w:t xml:space="preserve">in </w:t>
      </w:r>
      <w:r w:rsidR="00593FA9" w:rsidRPr="00D15774">
        <w:t xml:space="preserve">Colorado’s Denver-Julesburg </w:t>
      </w:r>
      <w:r w:rsidR="00BC3C8B" w:rsidRPr="00D15774">
        <w:t>or</w:t>
      </w:r>
      <w:r w:rsidR="00042617" w:rsidRPr="00D15774">
        <w:t xml:space="preserve"> Piceance basin</w:t>
      </w:r>
      <w:r w:rsidR="00593FA9" w:rsidRPr="00D15774">
        <w:t xml:space="preserve">s, </w:t>
      </w:r>
      <w:r w:rsidR="00BC3C8B" w:rsidRPr="00D15774">
        <w:t>no</w:t>
      </w:r>
      <w:r w:rsidR="00593FA9" w:rsidRPr="00D15774">
        <w:t xml:space="preserve">r </w:t>
      </w:r>
      <w:r w:rsidR="001F7FBB" w:rsidRPr="00D15774">
        <w:t xml:space="preserve">are there any </w:t>
      </w:r>
      <w:r w:rsidR="00593FA9" w:rsidRPr="00D15774">
        <w:t>in Wyoming’s Green River basin</w:t>
      </w:r>
      <w:r w:rsidR="00042617" w:rsidRPr="00D15774">
        <w:t>.</w:t>
      </w:r>
    </w:p>
    <w:p w:rsidR="00A24ED4" w:rsidRPr="00D15774" w:rsidRDefault="00A24ED4">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8B3535" w:rsidRPr="00D15774" w:rsidRDefault="00A24ED4">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O</w:t>
      </w:r>
      <w:r w:rsidR="00042617" w:rsidRPr="00D15774">
        <w:t xml:space="preserve">n </w:t>
      </w:r>
      <w:r w:rsidR="00765567" w:rsidRPr="00D15774">
        <w:t>Tribal Lands</w:t>
      </w:r>
      <w:r w:rsidR="00042617" w:rsidRPr="00D15774">
        <w:t xml:space="preserve">, the new </w:t>
      </w:r>
      <w:r w:rsidR="00956808" w:rsidRPr="00D15774">
        <w:t>federal</w:t>
      </w:r>
      <w:r w:rsidR="00042617" w:rsidRPr="00D15774">
        <w:t xml:space="preserve"> regulation for permitting of minor sources will likely affect a significant portion of </w:t>
      </w:r>
      <w:r w:rsidR="00042617" w:rsidRPr="00D15774">
        <w:rPr>
          <w:b/>
        </w:rPr>
        <w:t>NOx and VOC</w:t>
      </w:r>
      <w:r w:rsidR="00042617" w:rsidRPr="00D15774">
        <w:t xml:space="preserve"> emission</w:t>
      </w:r>
      <w:r w:rsidR="00593FA9" w:rsidRPr="00D15774">
        <w:t xml:space="preserve"> inventorie</w:t>
      </w:r>
      <w:r w:rsidR="00042617" w:rsidRPr="00D15774">
        <w:t>s</w:t>
      </w:r>
      <w:r w:rsidR="00593FA9" w:rsidRPr="00D15774">
        <w:t xml:space="preserve">.  These changes should show up </w:t>
      </w:r>
      <w:r w:rsidR="00BC3C8B" w:rsidRPr="00D15774">
        <w:t xml:space="preserve">by inclusion </w:t>
      </w:r>
      <w:r w:rsidR="002B4F70" w:rsidRPr="00D15774">
        <w:t xml:space="preserve">in the </w:t>
      </w:r>
      <w:r w:rsidR="008B3535" w:rsidRPr="00D15774">
        <w:t xml:space="preserve">post regulation </w:t>
      </w:r>
      <w:r w:rsidR="002B4F70" w:rsidRPr="00D15774">
        <w:t xml:space="preserve">inventories </w:t>
      </w:r>
      <w:r w:rsidR="00BC3C8B" w:rsidRPr="00D15774">
        <w:t xml:space="preserve">of </w:t>
      </w:r>
      <w:r w:rsidR="00042617" w:rsidRPr="00D15774">
        <w:t>previously unpermitted small source</w:t>
      </w:r>
      <w:r w:rsidR="00593FA9" w:rsidRPr="00D15774">
        <w:t xml:space="preserve"> categories</w:t>
      </w:r>
      <w:r w:rsidR="00042617" w:rsidRPr="00D15774">
        <w:t xml:space="preserve"> </w:t>
      </w:r>
      <w:r w:rsidR="00042617" w:rsidRPr="00D15774">
        <w:lastRenderedPageBreak/>
        <w:t>like field compressors, artificial lift engines and heaters.</w:t>
      </w:r>
    </w:p>
    <w:p w:rsidR="008B3535" w:rsidRPr="00D15774" w:rsidRDefault="008B3535">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042617" w:rsidRPr="00D15774" w:rsidRDefault="003A7674">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I</w:t>
      </w:r>
      <w:r w:rsidR="0038383A" w:rsidRPr="00D15774">
        <w:t xml:space="preserve">t is thought that </w:t>
      </w:r>
      <w:r w:rsidR="00BC3C8B" w:rsidRPr="00D15774">
        <w:t xml:space="preserve">any </w:t>
      </w:r>
      <w:r w:rsidR="008B3535" w:rsidRPr="00D15774">
        <w:t xml:space="preserve">“true” </w:t>
      </w:r>
      <w:r w:rsidR="00042617" w:rsidRPr="00D15774">
        <w:t xml:space="preserve">new sources </w:t>
      </w:r>
      <w:r w:rsidR="00A24ED4" w:rsidRPr="00D15774">
        <w:t xml:space="preserve">established </w:t>
      </w:r>
      <w:r w:rsidR="0038383A" w:rsidRPr="00D15774">
        <w:t xml:space="preserve">on </w:t>
      </w:r>
      <w:r w:rsidR="00765567" w:rsidRPr="00D15774">
        <w:t>Tribal Lands</w:t>
      </w:r>
      <w:r w:rsidR="0038383A" w:rsidRPr="00D15774">
        <w:t xml:space="preserve"> </w:t>
      </w:r>
      <w:r w:rsidR="00042617" w:rsidRPr="00D15774">
        <w:t xml:space="preserve">will have lower </w:t>
      </w:r>
      <w:r w:rsidR="0038383A" w:rsidRPr="00D15774">
        <w:t xml:space="preserve">NOx </w:t>
      </w:r>
      <w:r w:rsidR="00593FA9" w:rsidRPr="00D15774">
        <w:t xml:space="preserve">and VOC </w:t>
      </w:r>
      <w:r w:rsidR="00042617" w:rsidRPr="00D15774">
        <w:t xml:space="preserve">emissions </w:t>
      </w:r>
      <w:r w:rsidR="00765567" w:rsidRPr="00D15774">
        <w:t xml:space="preserve">than </w:t>
      </w:r>
      <w:r w:rsidR="00042617" w:rsidRPr="00D15774">
        <w:t>th</w:t>
      </w:r>
      <w:r w:rsidR="00BC3C8B" w:rsidRPr="00D15774">
        <w:t>ese</w:t>
      </w:r>
      <w:r w:rsidR="00042617" w:rsidRPr="00D15774">
        <w:t xml:space="preserve"> </w:t>
      </w:r>
      <w:r w:rsidR="00BC3C8B" w:rsidRPr="00D15774">
        <w:t>sources</w:t>
      </w:r>
      <w:r w:rsidR="00042617" w:rsidRPr="00D15774">
        <w:t xml:space="preserve"> </w:t>
      </w:r>
      <w:r w:rsidR="00BC3C8B" w:rsidRPr="00D15774">
        <w:t>would have</w:t>
      </w:r>
      <w:r w:rsidR="002B4F70" w:rsidRPr="00D15774">
        <w:t xml:space="preserve"> had without</w:t>
      </w:r>
      <w:r w:rsidR="00956808" w:rsidRPr="00D15774">
        <w:t xml:space="preserve"> </w:t>
      </w:r>
      <w:r w:rsidR="00593FA9" w:rsidRPr="00D15774">
        <w:t xml:space="preserve">scrutiny from </w:t>
      </w:r>
      <w:r w:rsidR="00956808" w:rsidRPr="00D15774">
        <w:t>the new</w:t>
      </w:r>
      <w:r w:rsidR="00042617" w:rsidRPr="00D15774">
        <w:t xml:space="preserve"> </w:t>
      </w:r>
      <w:r w:rsidR="00956808" w:rsidRPr="00D15774">
        <w:t>federal</w:t>
      </w:r>
      <w:r w:rsidR="00042617" w:rsidRPr="00D15774">
        <w:t xml:space="preserve"> permitting revie</w:t>
      </w:r>
      <w:r w:rsidR="009B55F7" w:rsidRPr="00D15774">
        <w:t>w</w:t>
      </w:r>
      <w:r w:rsidR="009B6735" w:rsidRPr="00D15774">
        <w:t xml:space="preserve">.  This </w:t>
      </w:r>
      <w:r w:rsidRPr="00D15774">
        <w:t xml:space="preserve">factor </w:t>
      </w:r>
      <w:r w:rsidR="009B6735" w:rsidRPr="00D15774">
        <w:t>w</w:t>
      </w:r>
      <w:r w:rsidR="00BB3CCB" w:rsidRPr="00D15774">
        <w:t>o</w:t>
      </w:r>
      <w:r w:rsidRPr="00D15774">
        <w:t xml:space="preserve">uld tend to reduce totals of these pollutants </w:t>
      </w:r>
      <w:r w:rsidR="00765567" w:rsidRPr="00D15774">
        <w:t>as</w:t>
      </w:r>
      <w:r w:rsidRPr="00D15774">
        <w:t xml:space="preserve"> compared to projections made prior to implementing the FIP</w:t>
      </w:r>
      <w:r w:rsidR="000842CB" w:rsidRPr="00D15774">
        <w:t xml:space="preserve">. </w:t>
      </w:r>
      <w:r w:rsidR="009B55F7" w:rsidRPr="00D15774">
        <w:t xml:space="preserve"> </w:t>
      </w:r>
      <w:r w:rsidRPr="00D15774">
        <w:t xml:space="preserve">However </w:t>
      </w:r>
      <w:r w:rsidR="009B55F7" w:rsidRPr="00D15774">
        <w:t>i</w:t>
      </w:r>
      <w:r w:rsidR="00BC3C8B" w:rsidRPr="00D15774">
        <w:t xml:space="preserve">t is </w:t>
      </w:r>
      <w:r w:rsidRPr="00D15774">
        <w:t>also likely that</w:t>
      </w:r>
      <w:r w:rsidR="00BC3C8B" w:rsidRPr="00D15774">
        <w:t xml:space="preserve"> t</w:t>
      </w:r>
      <w:r w:rsidR="00042617" w:rsidRPr="00D15774">
        <w:t xml:space="preserve">here will </w:t>
      </w:r>
      <w:r w:rsidRPr="00D15774">
        <w:t>b</w:t>
      </w:r>
      <w:r w:rsidR="00042617" w:rsidRPr="00D15774">
        <w:t>e a number of</w:t>
      </w:r>
      <w:r w:rsidR="009B55F7" w:rsidRPr="00D15774">
        <w:t xml:space="preserve"> sources that ar</w:t>
      </w:r>
      <w:r w:rsidR="00042617" w:rsidRPr="00D15774">
        <w:t>e</w:t>
      </w:r>
      <w:r w:rsidR="009B55F7" w:rsidRPr="00D15774">
        <w:t xml:space="preserve"> already </w:t>
      </w:r>
      <w:r w:rsidR="002B4F70" w:rsidRPr="00D15774">
        <w:t xml:space="preserve">existing </w:t>
      </w:r>
      <w:r w:rsidR="009B55F7" w:rsidRPr="00D15774">
        <w:t>in place, but</w:t>
      </w:r>
      <w:r w:rsidR="002B4F70" w:rsidRPr="00D15774">
        <w:t xml:space="preserve"> </w:t>
      </w:r>
      <w:r w:rsidR="00765567" w:rsidRPr="00D15774">
        <w:t xml:space="preserve">were </w:t>
      </w:r>
      <w:r w:rsidR="002B4F70" w:rsidRPr="00D15774">
        <w:t>never previously</w:t>
      </w:r>
      <w:r w:rsidRPr="00D15774">
        <w:t xml:space="preserve"> included in th</w:t>
      </w:r>
      <w:r w:rsidR="001F7FBB" w:rsidRPr="00D15774">
        <w:t xml:space="preserve">ese projection </w:t>
      </w:r>
      <w:r w:rsidRPr="00D15774">
        <w:t>inventories</w:t>
      </w:r>
      <w:r w:rsidR="002B4F70" w:rsidRPr="00D15774">
        <w:t xml:space="preserve"> </w:t>
      </w:r>
      <w:r w:rsidR="00042617" w:rsidRPr="00D15774">
        <w:t>in the pas</w:t>
      </w:r>
      <w:r w:rsidRPr="00D15774">
        <w:t>t</w:t>
      </w:r>
      <w:r w:rsidR="008B3535" w:rsidRPr="00D15774">
        <w:t xml:space="preserve">.  With the </w:t>
      </w:r>
      <w:r w:rsidR="00BB3CCB" w:rsidRPr="00D15774">
        <w:t xml:space="preserve">reporting requirements </w:t>
      </w:r>
      <w:r w:rsidR="004C2455" w:rsidRPr="00D15774">
        <w:t xml:space="preserve">found </w:t>
      </w:r>
      <w:r w:rsidR="00BB3CCB" w:rsidRPr="00D15774">
        <w:t xml:space="preserve">in the </w:t>
      </w:r>
      <w:r w:rsidR="008B3535" w:rsidRPr="00D15774">
        <w:t>new federal r</w:t>
      </w:r>
      <w:r w:rsidR="00BB3CCB" w:rsidRPr="00D15774">
        <w:t xml:space="preserve">egulation </w:t>
      </w:r>
      <w:r w:rsidR="008B3535" w:rsidRPr="00D15774">
        <w:t>these existing sources</w:t>
      </w:r>
      <w:r w:rsidRPr="00D15774">
        <w:t xml:space="preserve"> will now be captur</w:t>
      </w:r>
      <w:r w:rsidR="008B3535" w:rsidRPr="00D15774">
        <w:t xml:space="preserve">ed in future </w:t>
      </w:r>
      <w:r w:rsidRPr="00D15774">
        <w:t>inventory</w:t>
      </w:r>
      <w:r w:rsidR="008B3535" w:rsidRPr="00D15774">
        <w:t xml:space="preserve"> emissions</w:t>
      </w:r>
      <w:r w:rsidRPr="00D15774">
        <w:t xml:space="preserve"> totals</w:t>
      </w:r>
      <w:r w:rsidR="00BB3CCB" w:rsidRPr="00D15774">
        <w:t>.  T</w:t>
      </w:r>
      <w:r w:rsidR="00042617" w:rsidRPr="00D15774">
        <w:t xml:space="preserve">hus </w:t>
      </w:r>
      <w:r w:rsidR="00593FA9" w:rsidRPr="00D15774">
        <w:t xml:space="preserve">in spite of more restrictions and lower emissions resulting from </w:t>
      </w:r>
      <w:r w:rsidR="00AD14F0" w:rsidRPr="00D15774">
        <w:t>federal permitting</w:t>
      </w:r>
      <w:r w:rsidR="002B4F70" w:rsidRPr="00D15774">
        <w:t xml:space="preserve"> of “true” new sources</w:t>
      </w:r>
      <w:r w:rsidR="00AD14F0" w:rsidRPr="00D15774">
        <w:t xml:space="preserve">, </w:t>
      </w:r>
      <w:r w:rsidR="00042617" w:rsidRPr="00D15774">
        <w:t xml:space="preserve">we may </w:t>
      </w:r>
      <w:r w:rsidR="00AD14F0" w:rsidRPr="00D15774">
        <w:t xml:space="preserve">actually </w:t>
      </w:r>
      <w:r w:rsidR="00042617" w:rsidRPr="00D15774">
        <w:t>see some increase</w:t>
      </w:r>
      <w:r w:rsidR="00AD14F0" w:rsidRPr="00D15774">
        <w:t>s</w:t>
      </w:r>
      <w:r w:rsidR="001F7FBB" w:rsidRPr="00D15774">
        <w:t xml:space="preserve"> of </w:t>
      </w:r>
      <w:r w:rsidR="002B4F70" w:rsidRPr="00D15774">
        <w:t>pollutant</w:t>
      </w:r>
      <w:r w:rsidR="001F7FBB" w:rsidRPr="00D15774">
        <w:t xml:space="preserve"> total</w:t>
      </w:r>
      <w:r w:rsidR="002B4F70" w:rsidRPr="00D15774">
        <w:t>s</w:t>
      </w:r>
      <w:r w:rsidR="00042617" w:rsidRPr="00D15774">
        <w:t xml:space="preserve"> </w:t>
      </w:r>
      <w:r w:rsidR="008B3535" w:rsidRPr="00D15774">
        <w:t xml:space="preserve">in future emission inventory projections </w:t>
      </w:r>
      <w:r w:rsidR="002B4F70" w:rsidRPr="00D15774">
        <w:t>as these</w:t>
      </w:r>
      <w:r w:rsidR="00042617" w:rsidRPr="00D15774">
        <w:t xml:space="preserve"> </w:t>
      </w:r>
      <w:r w:rsidR="002B4F70" w:rsidRPr="00D15774">
        <w:t xml:space="preserve">previously unreported sources now </w:t>
      </w:r>
      <w:r w:rsidR="00042617" w:rsidRPr="00D15774">
        <w:t>show</w:t>
      </w:r>
      <w:r w:rsidR="002B4F70" w:rsidRPr="00D15774">
        <w:t xml:space="preserve"> up and are added</w:t>
      </w:r>
      <w:r w:rsidR="00042617" w:rsidRPr="00D15774">
        <w:t xml:space="preserve"> </w:t>
      </w:r>
      <w:r w:rsidR="002B4F70" w:rsidRPr="00D15774">
        <w:t>to</w:t>
      </w:r>
      <w:r w:rsidR="00042617" w:rsidRPr="00D15774">
        <w:t xml:space="preserve"> </w:t>
      </w:r>
      <w:r w:rsidR="009B6735" w:rsidRPr="00D15774">
        <w:t xml:space="preserve">inventory </w:t>
      </w:r>
      <w:r w:rsidR="008B3535" w:rsidRPr="00D15774">
        <w:t>totals calculated for</w:t>
      </w:r>
      <w:r w:rsidR="002B4F70" w:rsidRPr="00D15774">
        <w:t xml:space="preserve"> </w:t>
      </w:r>
      <w:r w:rsidR="00765567" w:rsidRPr="00D15774">
        <w:t>Tribal Lands</w:t>
      </w:r>
      <w:r w:rsidR="00042617" w:rsidRPr="00D15774">
        <w:t>.</w:t>
      </w:r>
    </w:p>
    <w:p w:rsidR="00042617" w:rsidRPr="00D15774" w:rsidRDefault="000426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042617" w:rsidRPr="00D15774" w:rsidRDefault="000426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 xml:space="preserve">Regarding </w:t>
      </w:r>
      <w:r w:rsidRPr="00D15774">
        <w:rPr>
          <w:b/>
        </w:rPr>
        <w:t>SO</w:t>
      </w:r>
      <w:r w:rsidRPr="00D15774">
        <w:rPr>
          <w:b/>
          <w:vertAlign w:val="subscript"/>
        </w:rPr>
        <w:t>2</w:t>
      </w:r>
      <w:r w:rsidRPr="00D15774">
        <w:t xml:space="preserve">, sources </w:t>
      </w:r>
      <w:r w:rsidR="0038383A" w:rsidRPr="00D15774">
        <w:t xml:space="preserve">of this pollutant located </w:t>
      </w:r>
      <w:r w:rsidRPr="00D15774">
        <w:t xml:space="preserve">on </w:t>
      </w:r>
      <w:r w:rsidR="00765567" w:rsidRPr="00D15774">
        <w:t>Tribal Lands</w:t>
      </w:r>
      <w:r w:rsidRPr="00D15774">
        <w:t xml:space="preserve"> a</w:t>
      </w:r>
      <w:r w:rsidR="00956808" w:rsidRPr="00D15774">
        <w:t>re likely</w:t>
      </w:r>
      <w:r w:rsidR="0038383A" w:rsidRPr="00D15774">
        <w:t xml:space="preserve"> to be</w:t>
      </w:r>
      <w:r w:rsidR="00956808" w:rsidRPr="00D15774">
        <w:t xml:space="preserve"> larger </w:t>
      </w:r>
      <w:r w:rsidR="004C2455" w:rsidRPr="00D15774">
        <w:t xml:space="preserve">major source </w:t>
      </w:r>
      <w:r w:rsidR="00956808" w:rsidRPr="00D15774">
        <w:t>facilities (i.e.</w:t>
      </w:r>
      <w:r w:rsidRPr="00D15774">
        <w:t xml:space="preserve"> gas processing plants) that already are addressed by </w:t>
      </w:r>
      <w:r w:rsidR="00956808" w:rsidRPr="00D15774">
        <w:t>federal</w:t>
      </w:r>
      <w:r w:rsidRPr="00D15774">
        <w:t xml:space="preserve"> permitting requirements</w:t>
      </w:r>
      <w:r w:rsidR="004C2455" w:rsidRPr="00D15774">
        <w:t>.</w:t>
      </w:r>
      <w:r w:rsidR="00AD14F0" w:rsidRPr="00D15774">
        <w:t xml:space="preserve"> </w:t>
      </w:r>
      <w:r w:rsidR="004C2455" w:rsidRPr="00D15774">
        <w:t xml:space="preserve"> T</w:t>
      </w:r>
      <w:r w:rsidR="00AD14F0" w:rsidRPr="00D15774">
        <w:t>hus the minor source rule should</w:t>
      </w:r>
      <w:r w:rsidRPr="00D15774">
        <w:t xml:space="preserve"> have </w:t>
      </w:r>
      <w:r w:rsidR="00A24ED4" w:rsidRPr="00D15774">
        <w:t>relatively little</w:t>
      </w:r>
      <w:r w:rsidRPr="00D15774">
        <w:t xml:space="preserve"> effect on emission</w:t>
      </w:r>
      <w:r w:rsidR="00A24ED4" w:rsidRPr="00D15774">
        <w:t xml:space="preserve"> total</w:t>
      </w:r>
      <w:r w:rsidRPr="00D15774">
        <w:t>s f</w:t>
      </w:r>
      <w:r w:rsidR="00A24ED4" w:rsidRPr="00D15774">
        <w:t>or</w:t>
      </w:r>
      <w:r w:rsidRPr="00D15774">
        <w:t xml:space="preserve"> this pollutant.</w:t>
      </w:r>
    </w:p>
    <w:p w:rsidR="00F73960" w:rsidRPr="00D15774" w:rsidRDefault="00F73960">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AD14F0" w:rsidRPr="00D15774" w:rsidRDefault="00EF0E2E" w:rsidP="009E440B">
      <w:pPr>
        <w:pStyle w:val="Heading3"/>
        <w:jc w:val="center"/>
        <w:rPr>
          <w:rFonts w:ascii="Times New Roman" w:hAnsi="Times New Roman" w:cs="Times New Roman"/>
          <w:color w:val="auto"/>
        </w:rPr>
      </w:pPr>
      <w:bookmarkStart w:id="5" w:name="_Toc369086977"/>
      <w:r w:rsidRPr="00D15774">
        <w:rPr>
          <w:rFonts w:ascii="Times New Roman" w:hAnsi="Times New Roman" w:cs="Times New Roman"/>
          <w:color w:val="auto"/>
        </w:rPr>
        <w:t>New F</w:t>
      </w:r>
      <w:r w:rsidR="00AD14F0" w:rsidRPr="00D15774">
        <w:rPr>
          <w:rFonts w:ascii="Times New Roman" w:hAnsi="Times New Roman" w:cs="Times New Roman"/>
          <w:color w:val="auto"/>
        </w:rPr>
        <w:t>ederal</w:t>
      </w:r>
      <w:r w:rsidR="004C2455" w:rsidRPr="00D15774">
        <w:rPr>
          <w:rFonts w:ascii="Times New Roman" w:hAnsi="Times New Roman" w:cs="Times New Roman"/>
          <w:color w:val="auto"/>
        </w:rPr>
        <w:t xml:space="preserve"> O&amp;G</w:t>
      </w:r>
      <w:r w:rsidR="00AD14F0" w:rsidRPr="00D15774">
        <w:rPr>
          <w:rFonts w:ascii="Times New Roman" w:hAnsi="Times New Roman" w:cs="Times New Roman"/>
          <w:color w:val="auto"/>
        </w:rPr>
        <w:t xml:space="preserve"> NSPS and NESHAPs Regulations</w:t>
      </w:r>
      <w:bookmarkEnd w:id="5"/>
    </w:p>
    <w:p w:rsidR="00042617" w:rsidRPr="00D15774" w:rsidRDefault="000426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0462C2" w:rsidRPr="00D15774" w:rsidRDefault="00B13D68">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 xml:space="preserve">Regarding the </w:t>
      </w:r>
      <w:r w:rsidR="00EF0E2E" w:rsidRPr="00D15774">
        <w:t xml:space="preserve">new </w:t>
      </w:r>
      <w:r w:rsidR="00AD14F0" w:rsidRPr="00D15774">
        <w:t>s</w:t>
      </w:r>
      <w:r w:rsidRPr="00D15774">
        <w:t xml:space="preserve">uite of </w:t>
      </w:r>
      <w:r w:rsidR="00EF0E2E" w:rsidRPr="00D15774">
        <w:t>four F</w:t>
      </w:r>
      <w:r w:rsidR="00956808" w:rsidRPr="00D15774">
        <w:t>ederal</w:t>
      </w:r>
      <w:r w:rsidR="00042617" w:rsidRPr="00D15774">
        <w:t xml:space="preserve"> </w:t>
      </w:r>
      <w:r w:rsidR="00AD14F0" w:rsidRPr="00D15774">
        <w:t>NSPS and NESHAP standard</w:t>
      </w:r>
      <w:r w:rsidR="00042617" w:rsidRPr="00D15774">
        <w:t>s</w:t>
      </w:r>
      <w:r w:rsidRPr="00D15774">
        <w:t>, these regulations</w:t>
      </w:r>
      <w:r w:rsidR="00042617" w:rsidRPr="00D15774">
        <w:t xml:space="preserve"> </w:t>
      </w:r>
      <w:r w:rsidR="00042617" w:rsidRPr="00D15774">
        <w:rPr>
          <w:b/>
        </w:rPr>
        <w:t>do not address NOx</w:t>
      </w:r>
      <w:r w:rsidR="00A24ED4" w:rsidRPr="00D15774">
        <w:t xml:space="preserve"> in any fashion</w:t>
      </w:r>
      <w:r w:rsidR="000462C2" w:rsidRPr="00D15774">
        <w:t xml:space="preserve"> so emission totals for this pollutant will not be affected by the new </w:t>
      </w:r>
      <w:r w:rsidR="004C2455" w:rsidRPr="00D15774">
        <w:t xml:space="preserve">O&amp;G </w:t>
      </w:r>
      <w:r w:rsidR="000462C2" w:rsidRPr="00D15774">
        <w:t>NSPS/NESHAPs rules.</w:t>
      </w:r>
    </w:p>
    <w:p w:rsidR="000462C2" w:rsidRPr="00D15774" w:rsidRDefault="000462C2">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0462C2" w:rsidRPr="00D15774" w:rsidRDefault="000426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 xml:space="preserve">There is a new NSPS revision </w:t>
      </w:r>
      <w:r w:rsidR="00BA760F" w:rsidRPr="00D15774">
        <w:t xml:space="preserve">to </w:t>
      </w:r>
      <w:r w:rsidR="004C2455" w:rsidRPr="00D15774">
        <w:t xml:space="preserve">previous </w:t>
      </w:r>
      <w:r w:rsidRPr="00D15774">
        <w:t>Subpart LLL</w:t>
      </w:r>
      <w:r w:rsidR="00BA760F" w:rsidRPr="00D15774">
        <w:t xml:space="preserve"> </w:t>
      </w:r>
      <w:r w:rsidR="004C2455" w:rsidRPr="00D15774">
        <w:t xml:space="preserve">rules </w:t>
      </w:r>
      <w:r w:rsidRPr="00D15774">
        <w:t>for</w:t>
      </w:r>
      <w:r w:rsidR="00C32058" w:rsidRPr="00D15774">
        <w:t xml:space="preserve"> SO</w:t>
      </w:r>
      <w:r w:rsidR="00C32058" w:rsidRPr="00D15774">
        <w:rPr>
          <w:vertAlign w:val="subscript"/>
        </w:rPr>
        <w:t>2</w:t>
      </w:r>
      <w:r w:rsidR="00C32058" w:rsidRPr="00D15774">
        <w:t xml:space="preserve"> </w:t>
      </w:r>
      <w:r w:rsidR="004C2455" w:rsidRPr="00D15774">
        <w:t xml:space="preserve">emissions </w:t>
      </w:r>
      <w:r w:rsidRPr="00D15774">
        <w:t>from large throughput (&gt; 5 LTPD sulfur) or high H</w:t>
      </w:r>
      <w:r w:rsidRPr="00D15774">
        <w:rPr>
          <w:vertAlign w:val="subscript"/>
        </w:rPr>
        <w:t>2</w:t>
      </w:r>
      <w:r w:rsidRPr="00D15774">
        <w:t>S (&gt; 50%) gas processing plants</w:t>
      </w:r>
      <w:r w:rsidR="00BA760F" w:rsidRPr="00D15774">
        <w:t xml:space="preserve"> (</w:t>
      </w:r>
      <w:r w:rsidR="004C2455" w:rsidRPr="00D15774">
        <w:t xml:space="preserve">the revision has been </w:t>
      </w:r>
      <w:r w:rsidR="00BA760F" w:rsidRPr="00D15774">
        <w:t>incorporated into Subpart OOOO).  B</w:t>
      </w:r>
      <w:r w:rsidRPr="00D15774">
        <w:t xml:space="preserve">ut these </w:t>
      </w:r>
      <w:r w:rsidR="000462C2" w:rsidRPr="00D15774">
        <w:t>gas</w:t>
      </w:r>
      <w:r w:rsidR="00BA760F" w:rsidRPr="00D15774">
        <w:t xml:space="preserve"> processing</w:t>
      </w:r>
      <w:r w:rsidR="000462C2" w:rsidRPr="00D15774">
        <w:t xml:space="preserve"> plants </w:t>
      </w:r>
      <w:r w:rsidRPr="00D15774">
        <w:t xml:space="preserve">are likely </w:t>
      </w:r>
      <w:r w:rsidR="004C2455" w:rsidRPr="00D15774">
        <w:t xml:space="preserve">to be </w:t>
      </w:r>
      <w:r w:rsidRPr="00D15774">
        <w:t>larger</w:t>
      </w:r>
      <w:r w:rsidR="004C2455" w:rsidRPr="00D15774">
        <w:t xml:space="preserve"> major source</w:t>
      </w:r>
      <w:r w:rsidRPr="00D15774">
        <w:t xml:space="preserve"> facilities that already are addressed by </w:t>
      </w:r>
      <w:r w:rsidR="00956808" w:rsidRPr="00D15774">
        <w:t>federal and s</w:t>
      </w:r>
      <w:r w:rsidRPr="00D15774">
        <w:t>tate permitting requirements</w:t>
      </w:r>
      <w:r w:rsidR="00497363" w:rsidRPr="00D15774">
        <w:t>.  T</w:t>
      </w:r>
      <w:r w:rsidRPr="00D15774">
        <w:t xml:space="preserve">hus this analysis does not look at the impact </w:t>
      </w:r>
      <w:r w:rsidR="004C2455" w:rsidRPr="00D15774">
        <w:t xml:space="preserve">the revisions to </w:t>
      </w:r>
      <w:r w:rsidRPr="00D15774">
        <w:t xml:space="preserve">Subpart LLL may have on the minor or area sources assessed under the WRAP Phase III O&amp;G </w:t>
      </w:r>
      <w:r w:rsidR="00956808" w:rsidRPr="00D15774">
        <w:t>e</w:t>
      </w:r>
      <w:r w:rsidRPr="00D15774">
        <w:t xml:space="preserve">xploration and </w:t>
      </w:r>
      <w:r w:rsidR="00956808" w:rsidRPr="00D15774">
        <w:t>p</w:t>
      </w:r>
      <w:r w:rsidRPr="00D15774">
        <w:t>roduction sector emission inventories.</w:t>
      </w:r>
    </w:p>
    <w:p w:rsidR="000462C2" w:rsidRPr="00D15774" w:rsidRDefault="000462C2">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042617" w:rsidRPr="00D15774" w:rsidRDefault="000426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Consequently</w:t>
      </w:r>
      <w:r w:rsidR="00C32058" w:rsidRPr="00D15774">
        <w:t xml:space="preserve"> with NOx</w:t>
      </w:r>
      <w:r w:rsidR="00163EFD" w:rsidRPr="00D15774">
        <w:t xml:space="preserve"> and </w:t>
      </w:r>
      <w:r w:rsidR="00C32058" w:rsidRPr="00D15774">
        <w:t>SO</w:t>
      </w:r>
      <w:r w:rsidR="00C32058" w:rsidRPr="00D15774">
        <w:rPr>
          <w:vertAlign w:val="subscript"/>
        </w:rPr>
        <w:t>2</w:t>
      </w:r>
      <w:r w:rsidR="00C32058" w:rsidRPr="00D15774">
        <w:t xml:space="preserve"> </w:t>
      </w:r>
      <w:r w:rsidR="00BA760F" w:rsidRPr="00D15774">
        <w:t xml:space="preserve">pollutants </w:t>
      </w:r>
      <w:r w:rsidR="00163EFD" w:rsidRPr="00D15774">
        <w:t>not applicable</w:t>
      </w:r>
      <w:r w:rsidR="00D06B79" w:rsidRPr="00D15774">
        <w:t>,</w:t>
      </w:r>
      <w:r w:rsidRPr="00D15774">
        <w:t xml:space="preserve"> </w:t>
      </w:r>
      <w:r w:rsidR="00EF0E2E" w:rsidRPr="00D15774">
        <w:t xml:space="preserve">for the purpose </w:t>
      </w:r>
      <w:r w:rsidR="00BA760F" w:rsidRPr="00D15774">
        <w:t xml:space="preserve">of analyzing the impact of the four </w:t>
      </w:r>
      <w:r w:rsidR="003D38E7">
        <w:t>recent</w:t>
      </w:r>
      <w:r w:rsidR="007C7201" w:rsidRPr="00D15774">
        <w:t xml:space="preserve"> Federal</w:t>
      </w:r>
      <w:r w:rsidR="00BA760F" w:rsidRPr="00D15774">
        <w:t xml:space="preserve"> </w:t>
      </w:r>
      <w:r w:rsidR="00EF0E2E" w:rsidRPr="00D15774">
        <w:t>rules t</w:t>
      </w:r>
      <w:r w:rsidRPr="00D15774">
        <w:t xml:space="preserve">his analysis </w:t>
      </w:r>
      <w:r w:rsidR="00EF0E2E" w:rsidRPr="00D15774">
        <w:t xml:space="preserve">focuses </w:t>
      </w:r>
      <w:r w:rsidR="007152DD" w:rsidRPr="00D15774">
        <w:t xml:space="preserve">solely </w:t>
      </w:r>
      <w:r w:rsidR="00EF0E2E" w:rsidRPr="00D15774">
        <w:t>on</w:t>
      </w:r>
      <w:r w:rsidRPr="00D15774">
        <w:t xml:space="preserve"> the VOC emission changes that may be expected with implementation of the </w:t>
      </w:r>
      <w:r w:rsidR="00AD14F0" w:rsidRPr="00D15774">
        <w:t xml:space="preserve">new </w:t>
      </w:r>
      <w:r w:rsidR="00956808" w:rsidRPr="00D15774">
        <w:t>federal</w:t>
      </w:r>
      <w:r w:rsidR="00381C28" w:rsidRPr="00D15774">
        <w:t xml:space="preserve"> </w:t>
      </w:r>
      <w:r w:rsidR="007152DD" w:rsidRPr="00D15774">
        <w:t xml:space="preserve">O&amp;G </w:t>
      </w:r>
      <w:r w:rsidR="00381C28" w:rsidRPr="00D15774">
        <w:t>NSPS and NESHAPs.</w:t>
      </w:r>
    </w:p>
    <w:p w:rsidR="00042617" w:rsidRPr="00D15774" w:rsidRDefault="000426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042617" w:rsidRPr="00D15774" w:rsidRDefault="000426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 xml:space="preserve">The source categories considered by the </w:t>
      </w:r>
      <w:r w:rsidR="00956808" w:rsidRPr="00D15774">
        <w:t>federal</w:t>
      </w:r>
      <w:r w:rsidRPr="00D15774">
        <w:t xml:space="preserve"> </w:t>
      </w:r>
      <w:r w:rsidR="007152DD" w:rsidRPr="00D15774">
        <w:t>O&amp;G N</w:t>
      </w:r>
      <w:r w:rsidRPr="00D15774">
        <w:t>SPS and NESHAPs</w:t>
      </w:r>
      <w:r w:rsidR="00C6740D" w:rsidRPr="00D15774">
        <w:t xml:space="preserve"> </w:t>
      </w:r>
      <w:r w:rsidR="00F73960" w:rsidRPr="00D15774">
        <w:t>a</w:t>
      </w:r>
      <w:r w:rsidRPr="00D15774">
        <w:t>re</w:t>
      </w:r>
      <w:r w:rsidR="00B00294" w:rsidRPr="00D15774">
        <w:t>:</w:t>
      </w:r>
      <w:r w:rsidRPr="00D15774">
        <w:t xml:space="preserve"> 1) well completions, 2) compressor leaks, 3) pneumatic controllers, 4) condensate </w:t>
      </w:r>
      <w:r w:rsidR="002C4840" w:rsidRPr="00D15774">
        <w:t xml:space="preserve">and crude oil </w:t>
      </w:r>
      <w:r w:rsidRPr="00D15774">
        <w:t>storage tank</w:t>
      </w:r>
      <w:r w:rsidR="00CE6456" w:rsidRPr="00D15774">
        <w:t>s</w:t>
      </w:r>
      <w:r w:rsidRPr="00D15774">
        <w:t>, 5) natural gas processing plant fugitive emissions and 6) natural gas dehydrato</w:t>
      </w:r>
      <w:r w:rsidR="00C36139" w:rsidRPr="00D15774">
        <w:t>rs</w:t>
      </w:r>
      <w:r w:rsidRPr="00D15774">
        <w:t>.</w:t>
      </w:r>
    </w:p>
    <w:p w:rsidR="00042617" w:rsidRPr="00D15774" w:rsidRDefault="000426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042617" w:rsidRPr="00D15774" w:rsidRDefault="000426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 xml:space="preserve">Regarding </w:t>
      </w:r>
      <w:r w:rsidR="00956808" w:rsidRPr="00D15774">
        <w:t xml:space="preserve">the </w:t>
      </w:r>
      <w:r w:rsidRPr="00D15774">
        <w:t>well completion</w:t>
      </w:r>
      <w:r w:rsidR="00956808" w:rsidRPr="00D15774">
        <w:rPr>
          <w:b/>
        </w:rPr>
        <w:t xml:space="preserve"> </w:t>
      </w:r>
      <w:r w:rsidR="00956808" w:rsidRPr="00D15774">
        <w:t>category</w:t>
      </w:r>
      <w:r w:rsidRPr="00D15774">
        <w:t xml:space="preserve">, of the interviewed states only Colorado and Wyoming have existing control regulations that are similar to the </w:t>
      </w:r>
      <w:r w:rsidR="006B3125" w:rsidRPr="00D15774">
        <w:t>Subpart OOOO</w:t>
      </w:r>
      <w:r w:rsidRPr="00D15774">
        <w:t xml:space="preserve"> </w:t>
      </w:r>
      <w:r w:rsidR="009D6CF7" w:rsidRPr="00D15774">
        <w:t xml:space="preserve">“Green Completion” </w:t>
      </w:r>
      <w:r w:rsidRPr="00D15774">
        <w:lastRenderedPageBreak/>
        <w:t xml:space="preserve">control requirements, and for Wyoming their regulations </w:t>
      </w:r>
      <w:r w:rsidR="007C7201" w:rsidRPr="00D15774">
        <w:t xml:space="preserve">do not </w:t>
      </w:r>
      <w:r w:rsidRPr="00D15774">
        <w:t>apply to the</w:t>
      </w:r>
      <w:r w:rsidR="007C7201" w:rsidRPr="00D15774">
        <w:t xml:space="preserve"> entire</w:t>
      </w:r>
      <w:r w:rsidRPr="00D15774">
        <w:t xml:space="preserve"> state.</w:t>
      </w:r>
    </w:p>
    <w:p w:rsidR="00042617" w:rsidRPr="00D15774" w:rsidRDefault="000426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042617" w:rsidRPr="00D15774" w:rsidRDefault="000426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 xml:space="preserve">Regarding compressor leaks, none of the seven </w:t>
      </w:r>
      <w:r w:rsidR="00956808" w:rsidRPr="00D15774">
        <w:t>stat</w:t>
      </w:r>
      <w:r w:rsidR="00B13D68" w:rsidRPr="00D15774">
        <w:t>es</w:t>
      </w:r>
      <w:r w:rsidR="00956808" w:rsidRPr="00D15774">
        <w:t xml:space="preserve"> </w:t>
      </w:r>
      <w:r w:rsidRPr="00D15774">
        <w:t xml:space="preserve">interviewed </w:t>
      </w:r>
      <w:r w:rsidR="00956808" w:rsidRPr="00D15774">
        <w:t xml:space="preserve">reported </w:t>
      </w:r>
      <w:r w:rsidRPr="00D15774">
        <w:t xml:space="preserve">any existing </w:t>
      </w:r>
      <w:r w:rsidR="000462C2" w:rsidRPr="00D15774">
        <w:t>r</w:t>
      </w:r>
      <w:r w:rsidRPr="00D15774">
        <w:t>egulations that address fugitive VOC leak</w:t>
      </w:r>
      <w:r w:rsidR="00765567" w:rsidRPr="00D15774">
        <w:t>s from gas fired engine</w:t>
      </w:r>
      <w:r w:rsidR="004C0D8B" w:rsidRPr="00D15774">
        <w:t>s like Subpart OOO doe</w:t>
      </w:r>
      <w:r w:rsidRPr="00D15774">
        <w:t>s.</w:t>
      </w:r>
    </w:p>
    <w:p w:rsidR="00042617" w:rsidRPr="00D15774" w:rsidRDefault="000426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042617" w:rsidRPr="00D15774" w:rsidRDefault="00682831">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For</w:t>
      </w:r>
      <w:r w:rsidR="00042617" w:rsidRPr="00D15774">
        <w:t xml:space="preserve"> pneumatic controllers, of the interviewed states </w:t>
      </w:r>
      <w:r w:rsidR="000842CB" w:rsidRPr="00D15774">
        <w:t xml:space="preserve">Colorado, North Dakota </w:t>
      </w:r>
      <w:r w:rsidR="00042617" w:rsidRPr="00D15774">
        <w:t xml:space="preserve">and Wyoming have existing control regulations that are similar to the </w:t>
      </w:r>
      <w:r w:rsidR="004C0D8B" w:rsidRPr="00D15774">
        <w:t xml:space="preserve">no or low bleed equipment specified under </w:t>
      </w:r>
      <w:r w:rsidR="006B3125" w:rsidRPr="00D15774">
        <w:t xml:space="preserve">Subpart OOOO </w:t>
      </w:r>
      <w:r w:rsidR="00042617" w:rsidRPr="00D15774">
        <w:t>control requirements.</w:t>
      </w:r>
    </w:p>
    <w:p w:rsidR="00042617" w:rsidRPr="00D15774" w:rsidRDefault="000426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042617" w:rsidRPr="00D15774" w:rsidRDefault="00936ADB">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Regarding hydrocarbon liquids (crude oil/condensate) or produced water storage tanks</w:t>
      </w:r>
      <w:r w:rsidR="00042617" w:rsidRPr="00D15774">
        <w:t xml:space="preserve">, </w:t>
      </w:r>
      <w:r w:rsidR="000842CB" w:rsidRPr="00D15774">
        <w:t>Colorado</w:t>
      </w:r>
      <w:r w:rsidR="00456117" w:rsidRPr="00D15774">
        <w:t>, Montana</w:t>
      </w:r>
      <w:r w:rsidR="000842CB" w:rsidRPr="00D15774">
        <w:t xml:space="preserve">, North Dakota </w:t>
      </w:r>
      <w:r w:rsidR="00042617" w:rsidRPr="00D15774">
        <w:t xml:space="preserve">and Wyoming </w:t>
      </w:r>
      <w:r w:rsidR="000842CB" w:rsidRPr="00D15774">
        <w:t xml:space="preserve">have existing </w:t>
      </w:r>
      <w:r w:rsidR="00042617" w:rsidRPr="00D15774">
        <w:t xml:space="preserve">regulations that </w:t>
      </w:r>
      <w:r w:rsidR="000842CB" w:rsidRPr="00D15774">
        <w:t xml:space="preserve">require control levels </w:t>
      </w:r>
      <w:r w:rsidR="00042617" w:rsidRPr="00D15774">
        <w:t xml:space="preserve">similar to the </w:t>
      </w:r>
      <w:r w:rsidR="004C0D8B" w:rsidRPr="00D15774">
        <w:t xml:space="preserve">95% </w:t>
      </w:r>
      <w:r w:rsidR="00042617" w:rsidRPr="00D15774">
        <w:t>control requirement</w:t>
      </w:r>
      <w:r w:rsidR="004C0D8B" w:rsidRPr="00D15774">
        <w:t>s of Subpart OOOO.</w:t>
      </w:r>
      <w:r w:rsidR="00042617" w:rsidRPr="00D15774">
        <w:t xml:space="preserve">  Montana </w:t>
      </w:r>
      <w:r w:rsidR="00456117" w:rsidRPr="00D15774">
        <w:t xml:space="preserve">also </w:t>
      </w:r>
      <w:r w:rsidR="00042617" w:rsidRPr="00D15774">
        <w:t xml:space="preserve">has a regulation </w:t>
      </w:r>
      <w:r>
        <w:t xml:space="preserve">that </w:t>
      </w:r>
      <w:r w:rsidR="00042617" w:rsidRPr="00D15774">
        <w:t>require</w:t>
      </w:r>
      <w:r>
        <w:t xml:space="preserve">s </w:t>
      </w:r>
      <w:r w:rsidR="00042617" w:rsidRPr="00D15774">
        <w:t>VOC vapors</w:t>
      </w:r>
      <w:r>
        <w:t xml:space="preserve"> </w:t>
      </w:r>
      <w:r w:rsidR="00353C99">
        <w:t xml:space="preserve">either </w:t>
      </w:r>
      <w:r>
        <w:t xml:space="preserve">to be captured and routed </w:t>
      </w:r>
      <w:r w:rsidR="00042617" w:rsidRPr="00D15774">
        <w:t>t</w:t>
      </w:r>
      <w:r>
        <w:t>o</w:t>
      </w:r>
      <w:r w:rsidR="00042617" w:rsidRPr="00D15774">
        <w:t xml:space="preserve"> a gas pipeline</w:t>
      </w:r>
      <w:r>
        <w:t xml:space="preserve">, or controlled through use of other emissions minimizing technology, from the date of initial well completion until the </w:t>
      </w:r>
      <w:r w:rsidR="00353C99">
        <w:t xml:space="preserve">source is </w:t>
      </w:r>
      <w:r w:rsidR="00042617" w:rsidRPr="00D15774">
        <w:t>registered</w:t>
      </w:r>
      <w:r w:rsidR="00353C99">
        <w:t>/</w:t>
      </w:r>
      <w:r w:rsidR="00042617" w:rsidRPr="00D15774">
        <w:t>permitted</w:t>
      </w:r>
      <w:r>
        <w:t xml:space="preserve">. </w:t>
      </w:r>
      <w:r w:rsidR="00042617" w:rsidRPr="00D15774">
        <w:t xml:space="preserve"> </w:t>
      </w:r>
      <w:r w:rsidR="00774281" w:rsidRPr="00D15774">
        <w:t xml:space="preserve">Montana and </w:t>
      </w:r>
      <w:r w:rsidR="00042617" w:rsidRPr="00D15774">
        <w:t xml:space="preserve">North Dakota require minimizing VOC </w:t>
      </w:r>
      <w:r w:rsidR="00774281" w:rsidRPr="00D15774">
        <w:t xml:space="preserve">emissions </w:t>
      </w:r>
      <w:r w:rsidR="00042617" w:rsidRPr="00D15774">
        <w:t xml:space="preserve">with submerged filling requirements </w:t>
      </w:r>
      <w:r w:rsidR="00774281" w:rsidRPr="00D15774">
        <w:t xml:space="preserve">(ND </w:t>
      </w:r>
      <w:r w:rsidR="00F73960" w:rsidRPr="00D15774">
        <w:t xml:space="preserve">only </w:t>
      </w:r>
      <w:r w:rsidR="00042617" w:rsidRPr="00D15774">
        <w:t>for large &gt; 1,000 gallon</w:t>
      </w:r>
      <w:r w:rsidR="00774281" w:rsidRPr="00D15774">
        <w:t xml:space="preserve"> tanks</w:t>
      </w:r>
      <w:r w:rsidR="00042617" w:rsidRPr="00D15774">
        <w:t>)</w:t>
      </w:r>
      <w:r w:rsidR="00F73960" w:rsidRPr="00D15774">
        <w:t xml:space="preserve">. </w:t>
      </w:r>
      <w:r w:rsidR="00042617" w:rsidRPr="00D15774">
        <w:t xml:space="preserve"> Utah requires minimizing VOC on large (&gt; 40,000 gallons), high pressure (&gt;1.52 psia) new tanks </w:t>
      </w:r>
      <w:r w:rsidR="00682831" w:rsidRPr="00D15774">
        <w:t>through the</w:t>
      </w:r>
      <w:r w:rsidR="00042617" w:rsidRPr="00D15774">
        <w:t xml:space="preserve"> us</w:t>
      </w:r>
      <w:r w:rsidR="00682831" w:rsidRPr="00D15774">
        <w:t>e of</w:t>
      </w:r>
      <w:r w:rsidR="00042617" w:rsidRPr="00D15774">
        <w:t xml:space="preserve"> floating roof technology.</w:t>
      </w:r>
    </w:p>
    <w:p w:rsidR="00456117" w:rsidRPr="00D15774" w:rsidRDefault="004561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74445C" w:rsidRPr="00D15774" w:rsidRDefault="00042617" w:rsidP="0074445C">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Cs w:val="24"/>
        </w:rPr>
      </w:pPr>
      <w:r w:rsidRPr="00D15774">
        <w:t>Regarding gas processing plant fugitive emissions, all states</w:t>
      </w:r>
      <w:r w:rsidR="007152DD" w:rsidRPr="00D15774">
        <w:t xml:space="preserve"> have adopted NSPS Subpart KKK, thus they</w:t>
      </w:r>
      <w:r w:rsidRPr="00D15774">
        <w:t xml:space="preserve"> already require Leak Detection and Repair (LDAR) programs</w:t>
      </w:r>
      <w:r w:rsidR="00CC571B" w:rsidRPr="00D15774">
        <w:t xml:space="preserve"> </w:t>
      </w:r>
      <w:r w:rsidR="007152DD" w:rsidRPr="00D15774">
        <w:t>mandated by this standard for control of VOC leaks</w:t>
      </w:r>
      <w:r w:rsidR="00C17C2B" w:rsidRPr="00D15774">
        <w:t>.  U</w:t>
      </w:r>
      <w:r w:rsidRPr="00D15774">
        <w:t>nder Subpart OOOO</w:t>
      </w:r>
      <w:r w:rsidR="00C17C2B" w:rsidRPr="00D15774">
        <w:t xml:space="preserve"> </w:t>
      </w:r>
      <w:r w:rsidR="009A0065" w:rsidRPr="00D15774">
        <w:t xml:space="preserve">the </w:t>
      </w:r>
      <w:r w:rsidR="00C17C2B" w:rsidRPr="00D15774">
        <w:t xml:space="preserve">EPA </w:t>
      </w:r>
      <w:r w:rsidR="00C17C2B" w:rsidRPr="00D15774">
        <w:rPr>
          <w:color w:val="000000"/>
          <w:szCs w:val="24"/>
        </w:rPr>
        <w:t xml:space="preserve">revised the existing NSPS requirements for LDAR to reflect the procedures and leak thresholds established by 40 CFR 60, Subpart VVa </w:t>
      </w:r>
      <w:r w:rsidR="00666F4F" w:rsidRPr="00D15774">
        <w:rPr>
          <w:color w:val="000000"/>
          <w:szCs w:val="24"/>
        </w:rPr>
        <w:t>(</w:t>
      </w:r>
      <w:r w:rsidR="00666F4F" w:rsidRPr="00D15774">
        <w:rPr>
          <w:szCs w:val="24"/>
          <w:lang w:val="en-CA"/>
        </w:rPr>
        <w:fldChar w:fldCharType="begin"/>
      </w:r>
      <w:r w:rsidR="00666F4F" w:rsidRPr="00D15774">
        <w:rPr>
          <w:szCs w:val="24"/>
          <w:lang w:val="en-CA"/>
        </w:rPr>
        <w:instrText xml:space="preserve"> SEQ CHAPTER \h \r 1</w:instrText>
      </w:r>
      <w:r w:rsidR="00666F4F" w:rsidRPr="00D15774">
        <w:rPr>
          <w:szCs w:val="24"/>
          <w:lang w:val="en-CA"/>
        </w:rPr>
        <w:fldChar w:fldCharType="end"/>
      </w:r>
      <w:r w:rsidR="00666F4F" w:rsidRPr="00D15774">
        <w:rPr>
          <w:szCs w:val="24"/>
        </w:rPr>
        <w:t>Standards of Performance for Equipment Leaks of VOC in the Synthetic Organic Chemicals Manufacturing Industry)</w:t>
      </w:r>
      <w:r w:rsidR="00C17C2B" w:rsidRPr="00D15774">
        <w:rPr>
          <w:color w:val="000000"/>
          <w:szCs w:val="24"/>
        </w:rPr>
        <w:t>. Subpart VVa lowers the leak definition for valves from 10,000 ppm to 500 pp</w:t>
      </w:r>
      <w:r w:rsidR="0043445C" w:rsidRPr="00D15774">
        <w:rPr>
          <w:color w:val="000000"/>
          <w:szCs w:val="24"/>
        </w:rPr>
        <w:t>m VOC</w:t>
      </w:r>
      <w:r w:rsidR="00C17C2B" w:rsidRPr="00D15774">
        <w:rPr>
          <w:color w:val="000000"/>
          <w:szCs w:val="24"/>
        </w:rPr>
        <w:t xml:space="preserve">, and requires the </w:t>
      </w:r>
      <w:r w:rsidR="00666F4F" w:rsidRPr="00D15774">
        <w:rPr>
          <w:color w:val="000000"/>
          <w:szCs w:val="24"/>
        </w:rPr>
        <w:t xml:space="preserve">monitoring of </w:t>
      </w:r>
      <w:r w:rsidR="0074445C" w:rsidRPr="00D15774">
        <w:rPr>
          <w:color w:val="000000"/>
        </w:rPr>
        <w:t>connectors, pumps, pressure relief devices and open-ended valves or line</w:t>
      </w:r>
      <w:r w:rsidR="00D53EBF" w:rsidRPr="00D15774">
        <w:rPr>
          <w:color w:val="000000"/>
        </w:rPr>
        <w:t>s.  Thus a Subpart KKK LDAR program will allow somewhat more VOC to escape than a Subpart OOOO LDAR program.</w:t>
      </w:r>
      <w:r w:rsidR="0074445C" w:rsidRPr="00D15774">
        <w:rPr>
          <w:color w:val="000000"/>
        </w:rPr>
        <w:t xml:space="preserve"> </w:t>
      </w:r>
    </w:p>
    <w:p w:rsidR="00042617" w:rsidRPr="00D15774" w:rsidRDefault="000426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042617" w:rsidRPr="00D15774" w:rsidRDefault="000426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Regarding dehydrator vents, of the interviewed states</w:t>
      </w:r>
      <w:r w:rsidR="003F5603" w:rsidRPr="00D15774">
        <w:t xml:space="preserve"> only</w:t>
      </w:r>
      <w:r w:rsidRPr="00D15774">
        <w:t xml:space="preserve"> Colorado and Wyoming have existing control regulations that are similar to the </w:t>
      </w:r>
      <w:r w:rsidR="00956808" w:rsidRPr="00D15774">
        <w:t>federal</w:t>
      </w:r>
      <w:r w:rsidRPr="00D15774">
        <w:t xml:space="preserve"> </w:t>
      </w:r>
      <w:r w:rsidR="006B3125" w:rsidRPr="00D15774">
        <w:t xml:space="preserve">Subpart OOOO </w:t>
      </w:r>
      <w:r w:rsidR="00CC571B" w:rsidRPr="00D15774">
        <w:t xml:space="preserve">95% </w:t>
      </w:r>
      <w:r w:rsidRPr="00D15774">
        <w:t>control s</w:t>
      </w:r>
      <w:r w:rsidR="006949B1" w:rsidRPr="00D15774">
        <w:t>tandard</w:t>
      </w:r>
      <w:r w:rsidRPr="00D15774">
        <w:t>.</w:t>
      </w:r>
    </w:p>
    <w:p w:rsidR="00042617" w:rsidRPr="00D15774" w:rsidRDefault="000426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F9736E" w:rsidRPr="00D15774" w:rsidRDefault="00682831" w:rsidP="00F9736E">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As a</w:t>
      </w:r>
      <w:r w:rsidR="00042617" w:rsidRPr="00D15774">
        <w:t xml:space="preserve"> final observation</w:t>
      </w:r>
      <w:r w:rsidR="00F73960" w:rsidRPr="00D15774">
        <w:t xml:space="preserve"> we note that</w:t>
      </w:r>
      <w:r w:rsidR="00042617" w:rsidRPr="00D15774">
        <w:t xml:space="preserve"> it is likely that new sources will have lower emissions than previously projected due to the implementation of </w:t>
      </w:r>
      <w:r w:rsidR="006B3125" w:rsidRPr="00D15774">
        <w:t>the</w:t>
      </w:r>
      <w:r w:rsidR="00381C28" w:rsidRPr="00D15774">
        <w:t xml:space="preserve"> </w:t>
      </w:r>
      <w:r w:rsidR="00956808" w:rsidRPr="00D15774">
        <w:t>federal</w:t>
      </w:r>
      <w:r w:rsidR="00042617" w:rsidRPr="00D15774">
        <w:t xml:space="preserve"> NSPS and NESHAPs regulations in those basins located in states where there are no equivalent state control requirements.  It was not possible </w:t>
      </w:r>
      <w:r w:rsidR="004C0D8B" w:rsidRPr="00D15774">
        <w:t xml:space="preserve">however, </w:t>
      </w:r>
      <w:r w:rsidR="00042617" w:rsidRPr="00D15774">
        <w:t>to quantify these reductions within the scope of this analysis</w:t>
      </w:r>
      <w:r w:rsidR="003F5603" w:rsidRPr="00D15774">
        <w:t>.  So this analysis only discusses potential changes to the emission inventories in a qualitative manner</w:t>
      </w:r>
      <w:r w:rsidR="00042617" w:rsidRPr="00D15774">
        <w:t>.</w:t>
      </w:r>
      <w:r w:rsidR="00F9736E" w:rsidRPr="00D15774">
        <w:t xml:space="preserve"> </w:t>
      </w:r>
    </w:p>
    <w:p w:rsidR="00F9736E" w:rsidRPr="00D15774" w:rsidRDefault="00F9736E" w:rsidP="00F9736E">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F9736E" w:rsidRPr="00D15774" w:rsidRDefault="00F9736E" w:rsidP="009E440B">
      <w:pPr>
        <w:pStyle w:val="Heading3"/>
        <w:jc w:val="center"/>
        <w:rPr>
          <w:rFonts w:ascii="Times New Roman" w:hAnsi="Times New Roman" w:cs="Times New Roman"/>
          <w:color w:val="auto"/>
        </w:rPr>
      </w:pPr>
      <w:bookmarkStart w:id="6" w:name="_Toc369086978"/>
      <w:r w:rsidRPr="00D15774">
        <w:rPr>
          <w:rFonts w:ascii="Times New Roman" w:hAnsi="Times New Roman" w:cs="Times New Roman"/>
          <w:color w:val="auto"/>
        </w:rPr>
        <w:t>Existing Federal NSPS Combustion Regulations</w:t>
      </w:r>
      <w:bookmarkEnd w:id="6"/>
    </w:p>
    <w:p w:rsidR="00042617" w:rsidRPr="00D15774" w:rsidRDefault="000426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53EBF" w:rsidRPr="00D15774" w:rsidRDefault="00F9736E" w:rsidP="00F9736E">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 xml:space="preserve">As mentioned earlier EPA has had other NSPS in place for several years which focus on control of combustion emissions, including Subpart Db and Dc for boilers, Subpart IIII for stationary compression ignition (diesel) engines, Subpart JJJJ for stationary spark ignition engines and </w:t>
      </w:r>
      <w:r w:rsidRPr="00D15774">
        <w:lastRenderedPageBreak/>
        <w:t xml:space="preserve">Subpart KKKK for stationary combustion turbines.  NOx is a major pollutant from these four source categories.  It was found that the O&amp;G producing states considered in this analysis have either adopted all four of these federal </w:t>
      </w:r>
      <w:r w:rsidR="00D53EBF" w:rsidRPr="00D15774">
        <w:t xml:space="preserve">combustion </w:t>
      </w:r>
      <w:r w:rsidRPr="00D15774">
        <w:t>NSPS, or in one case whe</w:t>
      </w:r>
      <w:r w:rsidR="00D53EBF" w:rsidRPr="00D15774">
        <w:t>re Subpart JJJJ was not adopted</w:t>
      </w:r>
      <w:r w:rsidRPr="00D15774">
        <w:t xml:space="preserve"> (Colorado)</w:t>
      </w:r>
      <w:r w:rsidR="00D53EBF" w:rsidRPr="00D15774">
        <w:t>,</w:t>
      </w:r>
      <w:r w:rsidRPr="00D15774">
        <w:t xml:space="preserve"> the state has their own regulations which mirror the federal emission standards contained in that spark ignition engine rule.  Thus </w:t>
      </w:r>
      <w:r w:rsidR="00382B2F" w:rsidRPr="00D15774">
        <w:t xml:space="preserve">state rules add nothing to the NOx control mandated by </w:t>
      </w:r>
      <w:r w:rsidRPr="00D15774">
        <w:t xml:space="preserve">the federal </w:t>
      </w:r>
      <w:r w:rsidR="00B0191C">
        <w:t xml:space="preserve">NSPS </w:t>
      </w:r>
      <w:r w:rsidRPr="00D15774">
        <w:t>regulations</w:t>
      </w:r>
      <w:r w:rsidR="00B0191C">
        <w:t xml:space="preserve"> as applicable to</w:t>
      </w:r>
      <w:r w:rsidR="00B0191C" w:rsidRPr="00B0191C">
        <w:t xml:space="preserve"> </w:t>
      </w:r>
      <w:r w:rsidR="00B0191C" w:rsidRPr="00D15774">
        <w:t>O&amp;G</w:t>
      </w:r>
      <w:r w:rsidR="00B0191C">
        <w:t xml:space="preserve"> combustion sources</w:t>
      </w:r>
      <w:r w:rsidRPr="00D15774">
        <w:t>.</w:t>
      </w:r>
    </w:p>
    <w:p w:rsidR="00020436" w:rsidRPr="00D15774" w:rsidRDefault="00020436" w:rsidP="00F9736E">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70474F" w:rsidRPr="00D15774" w:rsidRDefault="007D496B" w:rsidP="00F9736E">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Cs w:val="24"/>
        </w:rPr>
      </w:pPr>
      <w:r w:rsidRPr="00D15774">
        <w:t xml:space="preserve">NOx is also emitted in large quantities from temporary engines in the fields that power such equipment as drill and workover rigs.  Since these engines generally operate for some period of time less than a year at any one site before being relocated, EPA regulates these temporary engines as “Nonroad Mobile” sources.  </w:t>
      </w:r>
      <w:r w:rsidR="00020436" w:rsidRPr="00D15774">
        <w:t xml:space="preserve">EPA </w:t>
      </w:r>
      <w:r w:rsidR="0070474F" w:rsidRPr="00D15774">
        <w:t xml:space="preserve">rules </w:t>
      </w:r>
      <w:r w:rsidRPr="00D15774">
        <w:rPr>
          <w:szCs w:val="24"/>
        </w:rPr>
        <w:t xml:space="preserve">for </w:t>
      </w:r>
      <w:r w:rsidR="000819D0" w:rsidRPr="00D15774">
        <w:rPr>
          <w:szCs w:val="24"/>
        </w:rPr>
        <w:t xml:space="preserve">both new and in-use </w:t>
      </w:r>
      <w:r w:rsidRPr="00D15774">
        <w:rPr>
          <w:szCs w:val="24"/>
        </w:rPr>
        <w:t xml:space="preserve">Nonroad </w:t>
      </w:r>
      <w:r w:rsidR="000819D0" w:rsidRPr="00D15774">
        <w:rPr>
          <w:szCs w:val="24"/>
        </w:rPr>
        <w:t>M</w:t>
      </w:r>
      <w:r w:rsidRPr="00D15774">
        <w:rPr>
          <w:szCs w:val="24"/>
        </w:rPr>
        <w:t xml:space="preserve">obile </w:t>
      </w:r>
      <w:r w:rsidR="000819D0" w:rsidRPr="00D15774">
        <w:t xml:space="preserve">compression ignition (diesel) </w:t>
      </w:r>
      <w:r w:rsidR="000819D0" w:rsidRPr="00D15774">
        <w:rPr>
          <w:szCs w:val="24"/>
        </w:rPr>
        <w:t>internal combustion engines (CI-ICE)</w:t>
      </w:r>
      <w:r w:rsidRPr="00D15774">
        <w:rPr>
          <w:szCs w:val="24"/>
        </w:rPr>
        <w:t xml:space="preserve"> are found under </w:t>
      </w:r>
      <w:r w:rsidRPr="00D15774">
        <w:rPr>
          <w:color w:val="000000"/>
          <w:szCs w:val="24"/>
        </w:rPr>
        <w:t>40 CFR 1039</w:t>
      </w:r>
      <w:r w:rsidR="00A0057F" w:rsidRPr="00D15774">
        <w:rPr>
          <w:color w:val="000000"/>
          <w:szCs w:val="24"/>
        </w:rPr>
        <w:t>.  R</w:t>
      </w:r>
      <w:r w:rsidR="000819D0" w:rsidRPr="00D15774">
        <w:rPr>
          <w:color w:val="000000"/>
          <w:szCs w:val="24"/>
        </w:rPr>
        <w:t xml:space="preserve">ules for new Nonroad Mobile </w:t>
      </w:r>
      <w:r w:rsidRPr="00D15774">
        <w:t xml:space="preserve">spark ignition </w:t>
      </w:r>
      <w:r w:rsidR="000819D0" w:rsidRPr="00D15774">
        <w:t xml:space="preserve">internal combustion </w:t>
      </w:r>
      <w:r w:rsidRPr="00D15774">
        <w:t>engines</w:t>
      </w:r>
      <w:r w:rsidR="000819D0" w:rsidRPr="00D15774">
        <w:t xml:space="preserve"> (SI-ICE</w:t>
      </w:r>
      <w:r w:rsidR="000819D0" w:rsidRPr="00D15774">
        <w:rPr>
          <w:szCs w:val="24"/>
        </w:rPr>
        <w:t xml:space="preserve">) are found under </w:t>
      </w:r>
      <w:r w:rsidR="000819D0" w:rsidRPr="00D15774">
        <w:rPr>
          <w:color w:val="000000"/>
          <w:szCs w:val="24"/>
        </w:rPr>
        <w:t>40 CFR 1048</w:t>
      </w:r>
      <w:r w:rsidRPr="00D15774">
        <w:rPr>
          <w:szCs w:val="24"/>
        </w:rPr>
        <w:t xml:space="preserve">.  </w:t>
      </w:r>
      <w:r w:rsidR="0070474F" w:rsidRPr="00D15774">
        <w:rPr>
          <w:szCs w:val="24"/>
        </w:rPr>
        <w:t xml:space="preserve">These </w:t>
      </w:r>
      <w:r w:rsidR="000819D0" w:rsidRPr="00D15774">
        <w:rPr>
          <w:szCs w:val="24"/>
        </w:rPr>
        <w:t xml:space="preserve">rules </w:t>
      </w:r>
      <w:r w:rsidR="0070474F" w:rsidRPr="00D15774">
        <w:rPr>
          <w:szCs w:val="24"/>
        </w:rPr>
        <w:t xml:space="preserve">are in the form of </w:t>
      </w:r>
      <w:r w:rsidR="0070474F" w:rsidRPr="00D15774">
        <w:t>“</w:t>
      </w:r>
      <w:r w:rsidR="0070474F" w:rsidRPr="00D15774">
        <w:rPr>
          <w:szCs w:val="24"/>
        </w:rPr>
        <w:t>Tier” standards</w:t>
      </w:r>
      <w:r w:rsidR="000819D0" w:rsidRPr="00D15774">
        <w:rPr>
          <w:szCs w:val="24"/>
        </w:rPr>
        <w:t xml:space="preserve"> which set grams per </w:t>
      </w:r>
      <w:r w:rsidR="00A0057F" w:rsidRPr="00D15774">
        <w:rPr>
          <w:szCs w:val="24"/>
        </w:rPr>
        <w:t xml:space="preserve">kilowatt-hour (convertible to grams per </w:t>
      </w:r>
      <w:r w:rsidR="0070474F" w:rsidRPr="00D15774">
        <w:rPr>
          <w:szCs w:val="24"/>
        </w:rPr>
        <w:t>h</w:t>
      </w:r>
      <w:r w:rsidR="000819D0" w:rsidRPr="00D15774">
        <w:rPr>
          <w:szCs w:val="24"/>
        </w:rPr>
        <w:t>orse</w:t>
      </w:r>
      <w:r w:rsidR="0070474F" w:rsidRPr="00D15774">
        <w:rPr>
          <w:szCs w:val="24"/>
        </w:rPr>
        <w:t>p</w:t>
      </w:r>
      <w:r w:rsidR="000819D0" w:rsidRPr="00D15774">
        <w:rPr>
          <w:szCs w:val="24"/>
        </w:rPr>
        <w:t>ower</w:t>
      </w:r>
      <w:r w:rsidR="0070474F" w:rsidRPr="00D15774">
        <w:rPr>
          <w:szCs w:val="24"/>
        </w:rPr>
        <w:t>-h</w:t>
      </w:r>
      <w:r w:rsidR="000819D0" w:rsidRPr="00D15774">
        <w:rPr>
          <w:szCs w:val="24"/>
        </w:rPr>
        <w:t>ou</w:t>
      </w:r>
      <w:r w:rsidR="0070474F" w:rsidRPr="00D15774">
        <w:rPr>
          <w:szCs w:val="24"/>
        </w:rPr>
        <w:t>r</w:t>
      </w:r>
      <w:r w:rsidR="00A0057F" w:rsidRPr="00D15774">
        <w:rPr>
          <w:szCs w:val="24"/>
        </w:rPr>
        <w:t>)</w:t>
      </w:r>
      <w:r w:rsidR="0070474F" w:rsidRPr="00D15774">
        <w:rPr>
          <w:szCs w:val="24"/>
        </w:rPr>
        <w:t xml:space="preserve"> NOx emission limits based on engine size and model year.  </w:t>
      </w:r>
      <w:r w:rsidRPr="00D15774">
        <w:rPr>
          <w:szCs w:val="24"/>
        </w:rPr>
        <w:t>The</w:t>
      </w:r>
      <w:r w:rsidR="00020436" w:rsidRPr="00D15774">
        <w:rPr>
          <w:color w:val="000000"/>
          <w:szCs w:val="24"/>
        </w:rPr>
        <w:t xml:space="preserve"> States do not typically adopt </w:t>
      </w:r>
      <w:r w:rsidRPr="00D15774">
        <w:rPr>
          <w:color w:val="000000"/>
          <w:szCs w:val="24"/>
        </w:rPr>
        <w:t xml:space="preserve">federal Nonroad </w:t>
      </w:r>
      <w:r w:rsidR="00A0057F" w:rsidRPr="00D15774">
        <w:rPr>
          <w:color w:val="000000"/>
          <w:szCs w:val="24"/>
        </w:rPr>
        <w:t xml:space="preserve">Mobile </w:t>
      </w:r>
      <w:r w:rsidRPr="00D15774">
        <w:rPr>
          <w:color w:val="000000"/>
          <w:szCs w:val="24"/>
        </w:rPr>
        <w:t xml:space="preserve">regulations, but rather rely on </w:t>
      </w:r>
      <w:r w:rsidR="00020436" w:rsidRPr="00D15774">
        <w:rPr>
          <w:color w:val="000000"/>
          <w:szCs w:val="24"/>
        </w:rPr>
        <w:t>EPA for enforcement</w:t>
      </w:r>
      <w:r w:rsidRPr="00D15774">
        <w:rPr>
          <w:color w:val="000000"/>
          <w:szCs w:val="24"/>
        </w:rPr>
        <w:t>.</w:t>
      </w:r>
    </w:p>
    <w:p w:rsidR="0070474F" w:rsidRPr="00D15774" w:rsidRDefault="0070474F" w:rsidP="00F9736E">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Cs w:val="24"/>
        </w:rPr>
      </w:pPr>
    </w:p>
    <w:p w:rsidR="00A0057F" w:rsidRPr="00D15774" w:rsidRDefault="0070474F" w:rsidP="00F9736E">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Cs w:val="24"/>
        </w:rPr>
      </w:pPr>
      <w:r w:rsidRPr="00D15774">
        <w:rPr>
          <w:color w:val="000000"/>
          <w:szCs w:val="24"/>
        </w:rPr>
        <w:t>C</w:t>
      </w:r>
      <w:r w:rsidR="007D496B" w:rsidRPr="00D15774">
        <w:rPr>
          <w:color w:val="000000"/>
          <w:szCs w:val="24"/>
        </w:rPr>
        <w:t>orrespondence with</w:t>
      </w:r>
      <w:r w:rsidR="007512BD" w:rsidRPr="00D15774">
        <w:rPr>
          <w:color w:val="000000"/>
          <w:szCs w:val="24"/>
        </w:rPr>
        <w:t xml:space="preserve"> state Air Quality Agencies</w:t>
      </w:r>
      <w:r w:rsidRPr="00D15774">
        <w:rPr>
          <w:color w:val="000000"/>
          <w:szCs w:val="24"/>
        </w:rPr>
        <w:t xml:space="preserve"> however,</w:t>
      </w:r>
      <w:r w:rsidR="007512BD" w:rsidRPr="00D15774">
        <w:rPr>
          <w:color w:val="000000"/>
          <w:szCs w:val="24"/>
        </w:rPr>
        <w:t xml:space="preserve"> revealed three instances where the states do have </w:t>
      </w:r>
      <w:r w:rsidR="000819D0" w:rsidRPr="00D15774">
        <w:rPr>
          <w:color w:val="000000"/>
          <w:szCs w:val="24"/>
        </w:rPr>
        <w:t xml:space="preserve">separate </w:t>
      </w:r>
      <w:r w:rsidR="007512BD" w:rsidRPr="00D15774">
        <w:rPr>
          <w:color w:val="000000"/>
          <w:szCs w:val="24"/>
        </w:rPr>
        <w:t xml:space="preserve">rules affecting Nonroad </w:t>
      </w:r>
      <w:r w:rsidR="00A0057F" w:rsidRPr="00D15774">
        <w:rPr>
          <w:color w:val="000000"/>
          <w:szCs w:val="24"/>
        </w:rPr>
        <w:t>M</w:t>
      </w:r>
      <w:r w:rsidR="007512BD" w:rsidRPr="00D15774">
        <w:rPr>
          <w:color w:val="000000"/>
          <w:szCs w:val="24"/>
        </w:rPr>
        <w:t>obile sources.  Alaska requires a permit for temporary portable O&amp;G operations and Colorado requires a permit for certain larger (greater than 1200 HP)</w:t>
      </w:r>
      <w:r w:rsidR="00F42BAA" w:rsidRPr="00D15774">
        <w:rPr>
          <w:color w:val="000000"/>
          <w:szCs w:val="24"/>
        </w:rPr>
        <w:t xml:space="preserve"> Nonroad </w:t>
      </w:r>
      <w:r w:rsidR="000819D0" w:rsidRPr="00D15774">
        <w:rPr>
          <w:color w:val="000000"/>
          <w:szCs w:val="24"/>
        </w:rPr>
        <w:t>M</w:t>
      </w:r>
      <w:r w:rsidR="00F42BAA" w:rsidRPr="00D15774">
        <w:rPr>
          <w:color w:val="000000"/>
          <w:szCs w:val="24"/>
        </w:rPr>
        <w:t>obile</w:t>
      </w:r>
      <w:r w:rsidR="007512BD" w:rsidRPr="00D15774">
        <w:rPr>
          <w:color w:val="000000"/>
          <w:szCs w:val="24"/>
        </w:rPr>
        <w:t xml:space="preserve"> engines with the potential to emit over </w:t>
      </w:r>
      <w:r w:rsidR="00F42BAA" w:rsidRPr="00D15774">
        <w:rPr>
          <w:color w:val="000000"/>
          <w:szCs w:val="24"/>
        </w:rPr>
        <w:t xml:space="preserve">100 TPY NOx </w:t>
      </w:r>
      <w:r w:rsidR="007512BD" w:rsidRPr="00D15774">
        <w:rPr>
          <w:color w:val="000000"/>
          <w:szCs w:val="24"/>
        </w:rPr>
        <w:t>(</w:t>
      </w:r>
      <w:r w:rsidR="00F42BAA" w:rsidRPr="00D15774">
        <w:rPr>
          <w:color w:val="000000"/>
          <w:szCs w:val="24"/>
        </w:rPr>
        <w:t>40 TPY if collocated at an existing major source).  In both cases the applicant must demonstrate that the</w:t>
      </w:r>
      <w:r w:rsidRPr="00D15774">
        <w:rPr>
          <w:color w:val="000000"/>
          <w:szCs w:val="24"/>
        </w:rPr>
        <w:t xml:space="preserve"> emissions will allow compliance with the respective states’ Ambient Air Quality Standards.</w:t>
      </w:r>
    </w:p>
    <w:p w:rsidR="00A0057F" w:rsidRPr="00D15774" w:rsidRDefault="00A0057F" w:rsidP="00F9736E">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Cs w:val="24"/>
        </w:rPr>
      </w:pPr>
    </w:p>
    <w:p w:rsidR="00020436" w:rsidRPr="00D15774" w:rsidRDefault="000819D0" w:rsidP="00F9736E">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Cs w:val="24"/>
        </w:rPr>
      </w:pPr>
      <w:r w:rsidRPr="00D15774">
        <w:rPr>
          <w:color w:val="000000"/>
          <w:szCs w:val="24"/>
        </w:rPr>
        <w:t xml:space="preserve">In addition </w:t>
      </w:r>
      <w:r w:rsidR="0070474F" w:rsidRPr="00D15774">
        <w:rPr>
          <w:color w:val="000000"/>
          <w:szCs w:val="24"/>
        </w:rPr>
        <w:t>Wyoming has an “Interim Policy” for their Upper Green River Basin ozone non-attainment area, which allows operators to voluntarily permit temporary drill/workover rig engines with BACT control, in return for receiving future emission credits.  In all three of these cases it is possible that emissions of temporary engines could be restricted to something under Federal Nonroad Mobile either to ass</w:t>
      </w:r>
      <w:r w:rsidRPr="00D15774">
        <w:rPr>
          <w:color w:val="000000"/>
          <w:szCs w:val="24"/>
        </w:rPr>
        <w:t>ure ambient air quality compliance or to meet BACT in a non-attainment area.</w:t>
      </w:r>
    </w:p>
    <w:p w:rsidR="00D53EBF" w:rsidRPr="00D15774" w:rsidRDefault="00D53EBF"/>
    <w:p w:rsidR="00DB42F9" w:rsidRPr="00D15774" w:rsidRDefault="00042617" w:rsidP="000B0BB8">
      <w:pPr>
        <w:pStyle w:val="Heading1"/>
        <w:rPr>
          <w:rFonts w:ascii="Times New Roman" w:hAnsi="Times New Roman" w:cs="Times New Roman"/>
          <w:b/>
          <w:color w:val="auto"/>
          <w:sz w:val="28"/>
          <w:szCs w:val="28"/>
        </w:rPr>
      </w:pPr>
      <w:bookmarkStart w:id="7" w:name="_Toc369086979"/>
      <w:r w:rsidRPr="00D15774">
        <w:rPr>
          <w:rFonts w:ascii="Times New Roman" w:hAnsi="Times New Roman" w:cs="Times New Roman"/>
          <w:b/>
          <w:color w:val="auto"/>
          <w:sz w:val="28"/>
          <w:szCs w:val="28"/>
        </w:rPr>
        <w:t>BACKGROUND</w:t>
      </w:r>
      <w:bookmarkEnd w:id="7"/>
    </w:p>
    <w:p w:rsidR="00DB42F9" w:rsidRPr="00D15774" w:rsidRDefault="00DB42F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u w:val="single"/>
        </w:rPr>
      </w:pPr>
    </w:p>
    <w:p w:rsidR="00DB42F9" w:rsidRPr="00D15774" w:rsidRDefault="00DB42F9" w:rsidP="00DB42F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Significant air pollutant emissions come from production of oil and gas wells operating on both state-regulated and Tribal Lands (typically EPA-regulated) across the western United States, as well as from the interconnected product gathering networks associated with these wells.  These emissions result from operation of an extensive fleet of field equipment and an array of processing plants, operating continuously across the West.</w:t>
      </w:r>
    </w:p>
    <w:p w:rsidR="00DB42F9" w:rsidRPr="00D15774" w:rsidRDefault="00DB42F9" w:rsidP="00DB42F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B42F9" w:rsidRPr="00D15774" w:rsidRDefault="00DB42F9" w:rsidP="00DB42F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 xml:space="preserve">These O&amp;G field operations (including exploration, production, and product gathering activities) were historically not well quantified in air pollution inventories.  This was due to the smaller </w:t>
      </w:r>
      <w:r w:rsidRPr="00D15774">
        <w:lastRenderedPageBreak/>
        <w:t xml:space="preserve">nature of individual pieces of field O&amp;G equipment as compared with traditional permitted larger point sources such as factories, refineries and power plants.  If individual pieces of O&amp;G equipment (i.e. compressor engines, drill rigs, heaters, dehydrators, flares and et cetera) are considered separately for each particular unit, the emission totals from that individual piece are often found to be minor.  Thus individual </w:t>
      </w:r>
      <w:r w:rsidR="00D53EBF" w:rsidRPr="00D15774">
        <w:t xml:space="preserve">emissions from separate pieces of </w:t>
      </w:r>
      <w:r w:rsidRPr="00D15774">
        <w:t>equipment traditionally fell below state air pollution control agencies’ permitting thresholds.  But with increasing energy demand and continuing oil and gas field development, the cumulative totals of emissions for this category of O&amp;G field equipment proves to be a significant air pollution source, both at the state level for these O&amp;G producing states in the western U.S., and even from the individual basins themselves.</w:t>
      </w:r>
    </w:p>
    <w:p w:rsidR="00DB42F9" w:rsidRPr="00D15774" w:rsidRDefault="00DB42F9" w:rsidP="00DB42F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53EBF" w:rsidRPr="00D15774" w:rsidRDefault="00DB42F9" w:rsidP="00DB42F9">
      <w:pPr>
        <w:widowControl w:val="0"/>
        <w:spacing w:line="300" w:lineRule="auto"/>
      </w:pPr>
      <w:r w:rsidRPr="00D15774">
        <w:t>The WRAP began looking at air quality issues resulting from these exploration &amp; production operations in the western U.S. in 2005, and has compiled several iterations of emission inventories of the criteria air pollutants emitted from these O&amp;G field operations.  In late 2005 the WRAP completed the Phase I O&amp;G emission inventory project to estimate for the first time, regional emission totals</w:t>
      </w:r>
      <w:r w:rsidR="00D53EBF" w:rsidRPr="00D15774">
        <w:t xml:space="preserve"> from these field operations.</w:t>
      </w:r>
    </w:p>
    <w:p w:rsidR="00D53EBF" w:rsidRPr="00D15774" w:rsidRDefault="00D53EBF" w:rsidP="00DB42F9">
      <w:pPr>
        <w:widowControl w:val="0"/>
        <w:spacing w:line="300" w:lineRule="auto"/>
      </w:pPr>
    </w:p>
    <w:p w:rsidR="00D53EBF" w:rsidRPr="00D15774" w:rsidRDefault="00DB42F9" w:rsidP="00DB42F9">
      <w:pPr>
        <w:widowControl w:val="0"/>
        <w:spacing w:line="300" w:lineRule="auto"/>
      </w:pPr>
      <w:r w:rsidRPr="00D15774">
        <w:t xml:space="preserve">As a “first cut” Phase I had a number of uncertainties identified, thus a second Phase II project was subsequently completed in the Fall of 2007.  These </w:t>
      </w:r>
      <w:r w:rsidR="001C4F42" w:rsidRPr="00D15774">
        <w:t xml:space="preserve">initial </w:t>
      </w:r>
      <w:r w:rsidRPr="00D15774">
        <w:t>WRAP inventories identified over 100,000 tons per year (tpy) of NOx emissions in the WRAP region which had not previously been included in regional air quality assessment work, as well as significant totals of other air pollutant species (primarily VOCs) critical in the evaluation of Regional Haze and other air quality management issues.  Reports and more details of the Phase I and II inventories are found at the archived W</w:t>
      </w:r>
      <w:r w:rsidR="00D53EBF" w:rsidRPr="00D15774">
        <w:t>RAP website at:</w:t>
      </w:r>
    </w:p>
    <w:p w:rsidR="00DB42F9" w:rsidRPr="00D15774" w:rsidRDefault="00645938" w:rsidP="00D53EBF">
      <w:pPr>
        <w:widowControl w:val="0"/>
        <w:spacing w:line="300" w:lineRule="auto"/>
        <w:jc w:val="center"/>
      </w:pPr>
      <w:hyperlink r:id="rId10" w:history="1">
        <w:r w:rsidR="00D53EBF" w:rsidRPr="00D15774">
          <w:rPr>
            <w:rStyle w:val="Hyperlink"/>
            <w:sz w:val="24"/>
            <w:szCs w:val="20"/>
          </w:rPr>
          <w:t>http://www.wrapair.org/forums/ogwg/Phases_I_and_II_Inventories.html</w:t>
        </w:r>
      </w:hyperlink>
    </w:p>
    <w:p w:rsidR="00DB42F9" w:rsidRPr="00D15774" w:rsidRDefault="00DB42F9" w:rsidP="00DB42F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B42F9" w:rsidRPr="00D15774" w:rsidRDefault="00DB42F9" w:rsidP="00DB42F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 xml:space="preserve">After Phase II results were evaluated, WRAP stakeholders felt that still more improvement in the accuracy of these emission estimates was needed and could be compiled.  In late 2007 the Western Energy Alliance (formerly known as IPAMS, the Independent Petroleum Association of the Mountain States) stepped </w:t>
      </w:r>
      <w:r w:rsidR="00A0057F" w:rsidRPr="00D15774">
        <w:t>forward</w:t>
      </w:r>
      <w:r w:rsidRPr="00D15774">
        <w:t xml:space="preserve"> to underwrite the Phase III regional oil and gas emission inventory project.  The project was planned and executed in partnership with the WRAP to assure that the products from Phase III were not solely industry centric, but were widely distributed among non-industry stakeholders (State/Local Agencies, Tribal Air Programs, Federal Land Managers, Environmental Groups and EPA).  WRAP strove to see that review and feedback was solicited from this diverse group of WRAP stakeholders such that the final inventory methodologies were transparent and more universally accepted by all parties interested in and affected by O&amp;G development in the Intermountain West.  Review of the Phase III work products has been done through the WRAP O&amp;G Workgroup</w:t>
      </w:r>
      <w:r w:rsidR="0067651A" w:rsidRPr="00D15774">
        <w:t>, a large and diverse group of interested O&amp;G stakeholders</w:t>
      </w:r>
      <w:r w:rsidRPr="00D15774">
        <w:t xml:space="preserve"> (see details at </w:t>
      </w:r>
      <w:hyperlink r:id="rId11" w:history="1">
        <w:r w:rsidRPr="00D15774">
          <w:rPr>
            <w:color w:val="0000FF"/>
            <w:u w:val="single"/>
          </w:rPr>
          <w:t>http://www.wrapair2.org/Oil_Gas.aspx</w:t>
        </w:r>
      </w:hyperlink>
      <w:r w:rsidRPr="00D15774">
        <w:t xml:space="preserve"> for more </w:t>
      </w:r>
      <w:r w:rsidRPr="00D15774">
        <w:lastRenderedPageBreak/>
        <w:t>explanation and history).</w:t>
      </w:r>
    </w:p>
    <w:p w:rsidR="00DB42F9" w:rsidRPr="00D15774" w:rsidRDefault="00DB42F9" w:rsidP="00DB42F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B42F9" w:rsidRPr="00D15774" w:rsidRDefault="00DB42F9" w:rsidP="00DB42F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The scope of the Phase III O&amp;G emission inventory effort was to compile a comprehensive criteria pollutant inventory (NOx, VOC, CO, SOx &amp; PM) for a 2006 base year, with a mid-term projection forecast out to 201</w:t>
      </w:r>
      <w:r w:rsidR="00374175" w:rsidRPr="00D15774">
        <w:t>2.</w:t>
      </w:r>
      <w:r w:rsidRPr="00D15774">
        <w:t xml:space="preserve"> </w:t>
      </w:r>
      <w:r w:rsidR="00374175" w:rsidRPr="00D15774">
        <w:t xml:space="preserve"> D</w:t>
      </w:r>
      <w:r w:rsidRPr="00D15774">
        <w:t>ue to the lengthy time necessary to complete all basins, the last Phase III basin completed [Williston] covered a more current 2009 base year with a mid-term projection forecast out to 2015.  The Phase III inventories were designed to cover all major source categories in the upstream O&amp;G sector (exploration, production and gathering phases of O&amp;G field operations).</w:t>
      </w:r>
    </w:p>
    <w:p w:rsidR="00DB42F9" w:rsidRPr="00D15774" w:rsidRDefault="00DB42F9" w:rsidP="00DB42F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B42F9" w:rsidRPr="00D15774" w:rsidRDefault="00DB42F9" w:rsidP="00DB42F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As noted earlier in the “Executive Summary” the O&amp;G basins addressed by the Phase III inventories include:</w:t>
      </w:r>
    </w:p>
    <w:p w:rsidR="00DB42F9" w:rsidRPr="00D15774" w:rsidRDefault="00DB42F9" w:rsidP="00DB42F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B42F9" w:rsidRPr="00D15774" w:rsidRDefault="00DB42F9" w:rsidP="00DB42F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54" w:hanging="354"/>
      </w:pPr>
      <w:r w:rsidRPr="00D15774">
        <w:t>1)</w:t>
      </w:r>
      <w:r w:rsidRPr="00D15774">
        <w:tab/>
        <w:t>Denver-Julesburg Basin (northeast Colorado)</w:t>
      </w:r>
    </w:p>
    <w:p w:rsidR="00DB42F9" w:rsidRPr="00D15774" w:rsidRDefault="00DB42F9" w:rsidP="00DB42F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54" w:hanging="354"/>
      </w:pPr>
      <w:r w:rsidRPr="00D15774">
        <w:t>2)</w:t>
      </w:r>
      <w:r w:rsidRPr="00D15774">
        <w:tab/>
        <w:t>Piceance Basin (northwestern Colorado)</w:t>
      </w:r>
    </w:p>
    <w:p w:rsidR="00DB42F9" w:rsidRPr="00D15774" w:rsidRDefault="00DB42F9" w:rsidP="00DB42F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54" w:hanging="354"/>
      </w:pPr>
      <w:r w:rsidRPr="00D15774">
        <w:t>3)</w:t>
      </w:r>
      <w:r w:rsidRPr="00D15774">
        <w:tab/>
        <w:t>Uinta Basin (northeastern Utah)</w:t>
      </w:r>
    </w:p>
    <w:p w:rsidR="00DB42F9" w:rsidRPr="00D15774" w:rsidRDefault="00DB42F9" w:rsidP="00DB42F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54" w:hanging="354"/>
      </w:pPr>
      <w:r w:rsidRPr="00D15774">
        <w:t>4)</w:t>
      </w:r>
      <w:r w:rsidRPr="00D15774">
        <w:tab/>
        <w:t>North San Juan Basin (southwest Colorado)</w:t>
      </w:r>
    </w:p>
    <w:p w:rsidR="00DB42F9" w:rsidRPr="00D15774" w:rsidRDefault="00DB42F9" w:rsidP="00DB42F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54" w:hanging="354"/>
      </w:pPr>
      <w:r w:rsidRPr="00D15774">
        <w:t>5)</w:t>
      </w:r>
      <w:r w:rsidRPr="00D15774">
        <w:tab/>
        <w:t>South San Juan Basin (northwest New Mexico)</w:t>
      </w:r>
    </w:p>
    <w:p w:rsidR="00DB42F9" w:rsidRPr="00D15774" w:rsidRDefault="00DB42F9" w:rsidP="00DB42F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54" w:hanging="354"/>
      </w:pPr>
      <w:r w:rsidRPr="00D15774">
        <w:t>6)</w:t>
      </w:r>
      <w:r w:rsidRPr="00D15774">
        <w:tab/>
        <w:t>Wind River Basin (central Wyoming)</w:t>
      </w:r>
    </w:p>
    <w:p w:rsidR="00DB42F9" w:rsidRPr="00D15774" w:rsidRDefault="00DB42F9" w:rsidP="00DB42F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54" w:hanging="354"/>
      </w:pPr>
      <w:r w:rsidRPr="00D15774">
        <w:t>7)</w:t>
      </w:r>
      <w:r w:rsidRPr="00D15774">
        <w:tab/>
        <w:t>Powder River Basin (northeast Wyoming)</w:t>
      </w:r>
    </w:p>
    <w:p w:rsidR="00DB42F9" w:rsidRPr="00D15774" w:rsidRDefault="00DB42F9" w:rsidP="00DB42F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54" w:hanging="354"/>
      </w:pPr>
      <w:r w:rsidRPr="00D15774">
        <w:t>8)</w:t>
      </w:r>
      <w:r w:rsidRPr="00D15774">
        <w:tab/>
        <w:t>Green River Basin (southwest Wyoming)</w:t>
      </w:r>
    </w:p>
    <w:p w:rsidR="00DB42F9" w:rsidRPr="00D15774" w:rsidRDefault="00DB42F9" w:rsidP="00DB42F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54" w:hanging="354"/>
      </w:pPr>
      <w:r w:rsidRPr="00D15774">
        <w:t>9)</w:t>
      </w:r>
      <w:r w:rsidRPr="00D15774">
        <w:tab/>
        <w:t>Williston Basin (western North Dakota and eastern Montana)</w:t>
      </w:r>
    </w:p>
    <w:p w:rsidR="00DB42F9" w:rsidRPr="00D15774" w:rsidRDefault="00DB42F9" w:rsidP="00DB42F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54" w:hanging="354"/>
      </w:pPr>
    </w:p>
    <w:p w:rsidR="00374175" w:rsidRPr="00D15774" w:rsidRDefault="00DB42F9" w:rsidP="00DB42F9">
      <w:pPr>
        <w:widowControl w:val="0"/>
        <w:spacing w:line="300" w:lineRule="auto"/>
      </w:pPr>
      <w:r w:rsidRPr="00D15774">
        <w:t>The WRAP completed 2006 base year emission inventories for the first eight of these basins.  With the extended time interval that elapsed before the last</w:t>
      </w:r>
      <w:r w:rsidR="00374175" w:rsidRPr="00D15774">
        <w:t xml:space="preserve"> basin</w:t>
      </w:r>
      <w:r w:rsidRPr="00D15774">
        <w:t xml:space="preserve"> [Williston] was compiled, a more current base year of 2009 was use</w:t>
      </w:r>
      <w:r w:rsidR="00374175" w:rsidRPr="00D15774">
        <w:t xml:space="preserve">d </w:t>
      </w:r>
      <w:r w:rsidR="00B0191C">
        <w:t>for</w:t>
      </w:r>
      <w:r w:rsidR="00374175" w:rsidRPr="00D15774">
        <w:t xml:space="preserve"> th</w:t>
      </w:r>
      <w:r w:rsidR="00B0191C">
        <w:t>e Williston</w:t>
      </w:r>
      <w:r w:rsidR="00374175" w:rsidRPr="00D15774">
        <w:t xml:space="preserve"> case.</w:t>
      </w:r>
      <w:r w:rsidRPr="00D15774">
        <w:t xml:space="preserve">  Reports, including maps of the basins and the emission source list covered under the project</w:t>
      </w:r>
      <w:r w:rsidR="00374175" w:rsidRPr="00D15774">
        <w:t>,</w:t>
      </w:r>
      <w:r w:rsidRPr="00D15774">
        <w:t xml:space="preserve"> can be accessed from the “Oil &amp; Gas Phase III” link on the “Emissions” tab of the current WRAP</w:t>
      </w:r>
      <w:r w:rsidR="00374175" w:rsidRPr="00D15774">
        <w:t xml:space="preserve"> webpage at:</w:t>
      </w:r>
    </w:p>
    <w:p w:rsidR="00DB42F9" w:rsidRPr="00D15774" w:rsidRDefault="00645938" w:rsidP="00374175">
      <w:pPr>
        <w:widowControl w:val="0"/>
        <w:spacing w:line="300" w:lineRule="auto"/>
        <w:jc w:val="center"/>
      </w:pPr>
      <w:hyperlink r:id="rId12" w:history="1">
        <w:r w:rsidR="00DB42F9" w:rsidRPr="00D15774">
          <w:rPr>
            <w:color w:val="0000FF"/>
            <w:u w:val="single"/>
          </w:rPr>
          <w:t>http://www.wrapair2.org/PhaseIII.aspx</w:t>
        </w:r>
      </w:hyperlink>
    </w:p>
    <w:p w:rsidR="00042617" w:rsidRPr="00D15774" w:rsidRDefault="000426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A63564" w:rsidRPr="00D15774" w:rsidRDefault="00A63564" w:rsidP="00A63564">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 xml:space="preserve">The primary intent of this analysis is to examine the effect that two </w:t>
      </w:r>
      <w:r w:rsidR="007C3A60" w:rsidRPr="00D15774">
        <w:t>recent</w:t>
      </w:r>
      <w:r w:rsidRPr="00D15774">
        <w:t xml:space="preserve"> federal air quality actions might have on the air pollution emissions from the oil and natural gas (O&amp;G) industry exploration and production sector in the WRAP region of the western United States.</w:t>
      </w:r>
    </w:p>
    <w:p w:rsidR="00A63564" w:rsidRPr="00D15774" w:rsidRDefault="00A63564" w:rsidP="00A63564">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A63564" w:rsidRPr="00D15774" w:rsidRDefault="00A63564" w:rsidP="00A63564">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The first of the two federal actions considered here is a Federal Implementation Plan (FIP) known as “Review of New Sources and Modifications in Indian Country”.  That FIP was finalized by EPA on June 10, 2011.  The Final Rule was published in the Federal Register on July 1, 2011, and provided an “Effective Date” for implementing the FIP of August 30, 2011 (60 days after FR publication).</w:t>
      </w:r>
    </w:p>
    <w:p w:rsidR="00A63564" w:rsidRPr="00D15774" w:rsidRDefault="00A63564" w:rsidP="00A63564">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A63564" w:rsidRPr="00D15774" w:rsidRDefault="00BA760F" w:rsidP="00A63564">
      <w:pPr>
        <w:pStyle w:val="Default"/>
        <w:rPr>
          <w:rFonts w:ascii="Times New Roman" w:hAnsi="Times New Roman" w:cs="Times New Roman"/>
        </w:rPr>
      </w:pPr>
      <w:r w:rsidRPr="00D15774">
        <w:rPr>
          <w:rFonts w:ascii="Times New Roman" w:hAnsi="Times New Roman" w:cs="Times New Roman"/>
        </w:rPr>
        <w:lastRenderedPageBreak/>
        <w:t xml:space="preserve">The second federal action considered here is the issuance of a suite of four air regulations for the oil and natural gas industry: 1) a New Source Performance Standard (NSPS Subpart OOOO) for VOCs; 2) a New Source Performance Standard (NSPS Subpart OOOO) for sulfur dioxide; 3) a National Emissions Standard for Hazardous Air Pollutants (NESHAP Subpart HH) for oil and natural gas production; and 4) a National Emissions Standard for Hazardous Air Pollutants (NESHAP Subpart HHH) for natural gas transmission and storage.  </w:t>
      </w:r>
      <w:r w:rsidR="00A63564" w:rsidRPr="00D15774">
        <w:rPr>
          <w:rFonts w:ascii="Times New Roman" w:hAnsi="Times New Roman" w:cs="Times New Roman"/>
        </w:rPr>
        <w:t xml:space="preserve">The EPA proposed these rules on July 28, 2011, and was still taking comment on the rules when the WRAP’s initial 2011 </w:t>
      </w:r>
      <w:r w:rsidR="00495686" w:rsidRPr="00D15774">
        <w:rPr>
          <w:rFonts w:ascii="Times New Roman" w:hAnsi="Times New Roman" w:cs="Times New Roman"/>
        </w:rPr>
        <w:t xml:space="preserve">dated </w:t>
      </w:r>
      <w:r w:rsidR="00A63564" w:rsidRPr="00D15774">
        <w:rPr>
          <w:rFonts w:ascii="Times New Roman" w:hAnsi="Times New Roman" w:cs="Times New Roman"/>
        </w:rPr>
        <w:t>analysis was released.  The EPA eventually finalized these O&amp;G regulations on April 17, 2012.  The Final Rule was published in the Federal Register on August 16, 2012, and provided an “Effective Date” for implementing the rules of October 15, 2012 (60 days after FR publication).</w:t>
      </w:r>
    </w:p>
    <w:p w:rsidR="00A63564" w:rsidRPr="00D15774" w:rsidRDefault="00A63564" w:rsidP="00A63564">
      <w:pPr>
        <w:pStyle w:val="Default"/>
        <w:rPr>
          <w:rFonts w:ascii="Times New Roman" w:hAnsi="Times New Roman" w:cs="Times New Roman"/>
        </w:rPr>
      </w:pPr>
    </w:p>
    <w:p w:rsidR="00A63564" w:rsidRPr="00D15774" w:rsidRDefault="00A63564" w:rsidP="00A63564">
      <w:pPr>
        <w:pStyle w:val="Default"/>
        <w:rPr>
          <w:rFonts w:ascii="Times New Roman" w:hAnsi="Times New Roman" w:cs="Times New Roman"/>
        </w:rPr>
      </w:pPr>
      <w:r w:rsidRPr="00D15774">
        <w:rPr>
          <w:rFonts w:ascii="Times New Roman" w:hAnsi="Times New Roman" w:cs="Times New Roman"/>
        </w:rPr>
        <w:t xml:space="preserve">After issuance of the Final O&amp;G Rule </w:t>
      </w:r>
      <w:r w:rsidR="00495686" w:rsidRPr="00D15774">
        <w:rPr>
          <w:rFonts w:ascii="Times New Roman" w:hAnsi="Times New Roman" w:cs="Times New Roman"/>
        </w:rPr>
        <w:t xml:space="preserve">in 2012, </w:t>
      </w:r>
      <w:r w:rsidRPr="00D15774">
        <w:rPr>
          <w:rFonts w:ascii="Times New Roman" w:hAnsi="Times New Roman" w:cs="Times New Roman"/>
        </w:rPr>
        <w:t xml:space="preserve">the EPA received several administrative petitions for </w:t>
      </w:r>
      <w:r w:rsidR="00495686" w:rsidRPr="00D15774">
        <w:rPr>
          <w:rFonts w:ascii="Times New Roman" w:hAnsi="Times New Roman" w:cs="Times New Roman"/>
        </w:rPr>
        <w:t xml:space="preserve">reconsideration and responded </w:t>
      </w:r>
      <w:r w:rsidRPr="00D15774">
        <w:rPr>
          <w:rFonts w:ascii="Times New Roman" w:hAnsi="Times New Roman" w:cs="Times New Roman"/>
        </w:rPr>
        <w:t>to the petitions by revising portions of the NSPS</w:t>
      </w:r>
      <w:r w:rsidR="00495686" w:rsidRPr="00D15774">
        <w:rPr>
          <w:rFonts w:ascii="Times New Roman" w:hAnsi="Times New Roman" w:cs="Times New Roman"/>
        </w:rPr>
        <w:t>.  This</w:t>
      </w:r>
      <w:r w:rsidRPr="00D15774">
        <w:rPr>
          <w:rFonts w:ascii="Times New Roman" w:hAnsi="Times New Roman" w:cs="Times New Roman"/>
        </w:rPr>
        <w:t xml:space="preserve"> amendment dealt solely with storage tanks used to store crude oil, condensate, unrefined petroleum liquids (known as “intermediate hydrocarbon liquids”)</w:t>
      </w:r>
      <w:r w:rsidR="00B0191C">
        <w:rPr>
          <w:rFonts w:ascii="Times New Roman" w:hAnsi="Times New Roman" w:cs="Times New Roman"/>
        </w:rPr>
        <w:t xml:space="preserve"> or produced water.  On August.</w:t>
      </w:r>
      <w:r w:rsidRPr="00D15774">
        <w:rPr>
          <w:rFonts w:ascii="Times New Roman" w:hAnsi="Times New Roman" w:cs="Times New Roman"/>
        </w:rPr>
        <w:t xml:space="preserve">2, 2013 EPA updated its 2012 performance standards for VOC emissions from these storage tanks used in the O&amp;G production industry.  </w:t>
      </w:r>
      <w:r w:rsidR="00CE1E5F" w:rsidRPr="00D15774">
        <w:rPr>
          <w:rFonts w:ascii="Times New Roman" w:hAnsi="Times New Roman" w:cs="Times New Roman"/>
        </w:rPr>
        <w:t>Th</w:t>
      </w:r>
      <w:r w:rsidRPr="00D15774">
        <w:rPr>
          <w:rFonts w:ascii="Times New Roman" w:hAnsi="Times New Roman" w:cs="Times New Roman"/>
        </w:rPr>
        <w:t>e EPA publish</w:t>
      </w:r>
      <w:r w:rsidR="00CE1E5F" w:rsidRPr="00D15774">
        <w:rPr>
          <w:rFonts w:ascii="Times New Roman" w:hAnsi="Times New Roman" w:cs="Times New Roman"/>
        </w:rPr>
        <w:t>ed</w:t>
      </w:r>
      <w:r w:rsidRPr="00D15774">
        <w:rPr>
          <w:rFonts w:ascii="Times New Roman" w:hAnsi="Times New Roman" w:cs="Times New Roman"/>
        </w:rPr>
        <w:t xml:space="preserve"> the amendments in the Federal Registe</w:t>
      </w:r>
      <w:r w:rsidR="00CE1E5F" w:rsidRPr="00D15774">
        <w:rPr>
          <w:rFonts w:ascii="Times New Roman" w:hAnsi="Times New Roman" w:cs="Times New Roman"/>
        </w:rPr>
        <w:t>r on September 23, 2013</w:t>
      </w:r>
      <w:r w:rsidRPr="00D15774">
        <w:rPr>
          <w:rFonts w:ascii="Times New Roman" w:hAnsi="Times New Roman" w:cs="Times New Roman"/>
        </w:rPr>
        <w:t>.</w:t>
      </w:r>
    </w:p>
    <w:p w:rsidR="00EB41BB" w:rsidRPr="00D15774" w:rsidRDefault="00EB41BB" w:rsidP="00EB41BB">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EB41BB" w:rsidRPr="00D15774" w:rsidRDefault="00B0191C" w:rsidP="00EB41BB">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recent</w:t>
      </w:r>
      <w:r w:rsidR="00EB41BB" w:rsidRPr="00D15774">
        <w:t xml:space="preserve"> NSPS/NESHAP regulations focus on VOCs, but EPA has had other NSPS in place for a number of years which focus on control of combustion emissions.  These NSPS include Subpart Db and Dc for boilers, Subpart IIII for stationary compression ignition (diesel) engines, Subpart JJJJ for stationary spark ignition engines and Subpart KKKK for stationary combustion turbines.  NOx is a major pollutant from these four source categories.</w:t>
      </w:r>
    </w:p>
    <w:p w:rsidR="007D496B" w:rsidRPr="00D15774" w:rsidRDefault="007D496B" w:rsidP="00EB41BB">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7D496B" w:rsidRPr="00D15774" w:rsidRDefault="007D496B" w:rsidP="007D496B">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 xml:space="preserve">NOx is also emitted in large quantities from temporary engines in the fields that power such equipment as drill and workover rigs.  Since these engines generally operate for some period of time less than a year at any one site before being relocated, EPA regulates these temporary engines as “Nonroad Mobile” sources.  So in addition to looking at the VOC </w:t>
      </w:r>
      <w:r w:rsidR="0067651A" w:rsidRPr="00D15774">
        <w:t>impact</w:t>
      </w:r>
      <w:r w:rsidRPr="00D15774">
        <w:t xml:space="preserve"> of the new federal O&amp;G actions, this analysis also examines the </w:t>
      </w:r>
      <w:r w:rsidR="0067651A" w:rsidRPr="00D15774">
        <w:t xml:space="preserve">impact </w:t>
      </w:r>
      <w:r w:rsidRPr="00D15774">
        <w:t>of previously existing federal</w:t>
      </w:r>
      <w:r w:rsidR="0067651A" w:rsidRPr="00D15774">
        <w:t xml:space="preserve"> rules on the</w:t>
      </w:r>
      <w:r w:rsidRPr="00D15774">
        <w:t xml:space="preserve"> </w:t>
      </w:r>
      <w:r w:rsidR="0067651A" w:rsidRPr="00D15774">
        <w:t>NOx component of the inventorie</w:t>
      </w:r>
      <w:r w:rsidRPr="00D15774">
        <w:t>s.</w:t>
      </w:r>
    </w:p>
    <w:p w:rsidR="00A63564" w:rsidRPr="00D15774" w:rsidRDefault="00A63564" w:rsidP="00A63564">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A63564" w:rsidRPr="00D15774" w:rsidRDefault="00C83463" w:rsidP="00A63564">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This</w:t>
      </w:r>
      <w:r w:rsidR="00A63564" w:rsidRPr="00D15774">
        <w:t xml:space="preserve"> document also examines the O&amp;G emission control regulations </w:t>
      </w:r>
      <w:r w:rsidR="00A651AE" w:rsidRPr="00D15774">
        <w:t>currently</w:t>
      </w:r>
      <w:r w:rsidR="00A63564" w:rsidRPr="00D15774">
        <w:t xml:space="preserve"> </w:t>
      </w:r>
      <w:r w:rsidR="006A1955">
        <w:t xml:space="preserve">in </w:t>
      </w:r>
      <w:r w:rsidR="00A63564" w:rsidRPr="00D15774">
        <w:t>place in the western U.S. O&amp;G producing states to determine where the federal rules might overlap existing State rules and which O&amp;G source types could be affected by the federal rules.</w:t>
      </w:r>
    </w:p>
    <w:p w:rsidR="00B05F55" w:rsidRPr="00D15774" w:rsidRDefault="00B05F55" w:rsidP="00A63564">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A63564" w:rsidRDefault="00A63564" w:rsidP="00A63564">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The seven O&amp;G producing states in the WRAP region interviewed for this analysis consisted of Alaska, Colorado, Montana, New Mexico, North Dakota, Utah and Wyoming.  California is also an O&amp;G producing state, but because control of O&amp;G exploration and production sector sources is handled by local Air Pollution Control Districts in that state rather than by the California Air Resources Board, it was not possible to contact each of these 35 California Districts individually to assess their current regulations under the scope of this project.</w:t>
      </w:r>
    </w:p>
    <w:p w:rsidR="00C83463" w:rsidRDefault="00C83463" w:rsidP="00A63564">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C83463" w:rsidRPr="00D15774" w:rsidRDefault="00C83463" w:rsidP="00C83463">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Finally this document describes the most current WRAP effort at evaluating O&amp;G operations, which is a BLM Sponsored emission inventory compilation for the Montana Great Plains and Williston Basins.  This effort will produce a 2011 year baseline emission inventory, along with projections 5-7 years into the future.</w:t>
      </w:r>
    </w:p>
    <w:p w:rsidR="00A63564" w:rsidRPr="00D15774" w:rsidRDefault="00A63564" w:rsidP="00A63564">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A63564" w:rsidRPr="00D15774" w:rsidRDefault="00A63564" w:rsidP="00A63564">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This analysis uses data from the WRAP-Western Energy Alliance Phase III O&amp;G Emission Inventory project (</w:t>
      </w:r>
      <w:hyperlink r:id="rId13" w:history="1">
        <w:r w:rsidRPr="00D15774">
          <w:rPr>
            <w:color w:val="0000FF"/>
            <w:u w:val="single"/>
          </w:rPr>
          <w:t>http://www.wrapair2.org/PhaseIII.aspx)</w:t>
        </w:r>
      </w:hyperlink>
      <w:r w:rsidRPr="00D15774">
        <w:t>.  These Phase III O&amp;G emission totals reflect O&amp;G control rules in place in the states at the time th</w:t>
      </w:r>
      <w:r w:rsidR="00AB601C">
        <w:t>os</w:t>
      </w:r>
      <w:r w:rsidRPr="00D15774">
        <w:t>e inventories were compiled.  Some of the state regulations may have been updated since that time.</w:t>
      </w:r>
    </w:p>
    <w:p w:rsidR="00A63564" w:rsidRPr="00D15774" w:rsidRDefault="00A63564" w:rsidP="00563E54">
      <w:pPr>
        <w:pStyle w:val="Default"/>
        <w:rPr>
          <w:rFonts w:ascii="Times New Roman" w:hAnsi="Times New Roman" w:cs="Times New Roman"/>
        </w:rPr>
      </w:pPr>
    </w:p>
    <w:p w:rsidR="00042617" w:rsidRDefault="008A670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Although all criteria pollutants are totaled i</w:t>
      </w:r>
      <w:r w:rsidR="00042617" w:rsidRPr="00D15774">
        <w:t>n th</w:t>
      </w:r>
      <w:r w:rsidR="00950BD4" w:rsidRPr="00D15774">
        <w:t>e reports for</w:t>
      </w:r>
      <w:r w:rsidR="00042617" w:rsidRPr="00D15774">
        <w:t xml:space="preserve"> </w:t>
      </w:r>
      <w:r w:rsidRPr="00D15774">
        <w:t>these Phase III</w:t>
      </w:r>
      <w:r w:rsidR="00042617" w:rsidRPr="00D15774">
        <w:t xml:space="preserve"> inventories, the sources of NOx and VOC emissions </w:t>
      </w:r>
      <w:r w:rsidR="00950BD4" w:rsidRPr="00D15774">
        <w:t>found in these basi</w:t>
      </w:r>
      <w:r w:rsidRPr="00D15774">
        <w:t xml:space="preserve">ns are analyzed in more detail </w:t>
      </w:r>
      <w:r w:rsidR="00950BD4" w:rsidRPr="00D15774">
        <w:t xml:space="preserve">(NOx and VOC being the primary pollutants of concern from O&amp;G exploration and production operations). </w:t>
      </w:r>
      <w:r w:rsidR="00042617" w:rsidRPr="00D15774">
        <w:t xml:space="preserve"> This </w:t>
      </w:r>
      <w:r w:rsidRPr="00D15774">
        <w:t>document goes a step further and</w:t>
      </w:r>
      <w:r w:rsidR="00042617" w:rsidRPr="00D15774">
        <w:t xml:space="preserve"> identifies which of these source categories </w:t>
      </w:r>
      <w:r w:rsidRPr="00D15774">
        <w:t>are likely to</w:t>
      </w:r>
      <w:r w:rsidR="00042617" w:rsidRPr="00D15774">
        <w:t xml:space="preserve"> be affected by the new </w:t>
      </w:r>
      <w:r w:rsidR="00956808" w:rsidRPr="00D15774">
        <w:t>federal</w:t>
      </w:r>
      <w:r w:rsidR="00042617" w:rsidRPr="00D15774">
        <w:t xml:space="preserve"> </w:t>
      </w:r>
      <w:r w:rsidRPr="00D15774">
        <w:t xml:space="preserve">O&amp;G </w:t>
      </w:r>
      <w:r w:rsidR="00B00294" w:rsidRPr="00D15774">
        <w:t>r</w:t>
      </w:r>
      <w:r w:rsidR="00042617" w:rsidRPr="00D15774">
        <w:t>egulations</w:t>
      </w:r>
      <w:r w:rsidR="00774281" w:rsidRPr="00D15774">
        <w:t xml:space="preserve"> for these two pollutants</w:t>
      </w:r>
      <w:r w:rsidR="00042617" w:rsidRPr="00D15774">
        <w:t>.</w:t>
      </w:r>
    </w:p>
    <w:p w:rsidR="00042617" w:rsidRPr="00D15774" w:rsidRDefault="000426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042617" w:rsidRPr="00D15774" w:rsidRDefault="0007546A">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15774">
        <w:t>This r</w:t>
      </w:r>
      <w:r w:rsidR="00042617" w:rsidRPr="00D15774">
        <w:t xml:space="preserve">eport is organized into </w:t>
      </w:r>
      <w:r w:rsidR="00C83463">
        <w:t>six</w:t>
      </w:r>
      <w:r w:rsidR="00042617" w:rsidRPr="00D15774">
        <w:t xml:space="preserve"> sections:</w:t>
      </w:r>
    </w:p>
    <w:p w:rsidR="00FC328E" w:rsidRDefault="00FC328E">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54" w:hanging="354"/>
      </w:pPr>
    </w:p>
    <w:p w:rsidR="00042617" w:rsidRPr="00D15774" w:rsidRDefault="000426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54" w:hanging="354"/>
      </w:pPr>
      <w:r w:rsidRPr="00D15774">
        <w:t>1.</w:t>
      </w:r>
      <w:r w:rsidRPr="00D15774">
        <w:tab/>
        <w:t>Review of New Sources and Modifications in Indian Country</w:t>
      </w:r>
    </w:p>
    <w:p w:rsidR="00042617" w:rsidRPr="00D15774" w:rsidRDefault="000426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D15774">
        <w:tab/>
        <w:t>a.</w:t>
      </w:r>
      <w:r w:rsidRPr="00D15774">
        <w:tab/>
        <w:t>Minor Source NSR Rule in Indian Country</w:t>
      </w:r>
    </w:p>
    <w:p w:rsidR="00042617" w:rsidRPr="00D15774" w:rsidRDefault="000426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D15774">
        <w:tab/>
        <w:t>b.</w:t>
      </w:r>
      <w:r w:rsidRPr="00D15774">
        <w:tab/>
        <w:t>Nonattainment Major NSR Rule in Indian Country</w:t>
      </w:r>
    </w:p>
    <w:p w:rsidR="00042617" w:rsidRPr="00D15774" w:rsidRDefault="000426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54" w:hanging="354"/>
      </w:pPr>
      <w:r w:rsidRPr="00D15774">
        <w:t>2.</w:t>
      </w:r>
      <w:r w:rsidRPr="00D15774">
        <w:tab/>
      </w:r>
      <w:r w:rsidR="00FF4A40" w:rsidRPr="00D15774">
        <w:t xml:space="preserve">Review of </w:t>
      </w:r>
      <w:r w:rsidRPr="00D15774">
        <w:t>EPA Oil and Natural Gas Air Regulations</w:t>
      </w:r>
    </w:p>
    <w:p w:rsidR="00042617" w:rsidRPr="00D15774" w:rsidRDefault="000426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D15774">
        <w:tab/>
        <w:t>a.</w:t>
      </w:r>
      <w:r w:rsidRPr="00D15774">
        <w:tab/>
        <w:t xml:space="preserve">Summary of </w:t>
      </w:r>
      <w:r w:rsidR="006B3125" w:rsidRPr="00D15774">
        <w:t>Adopted</w:t>
      </w:r>
      <w:r w:rsidRPr="00D15774">
        <w:t xml:space="preserve"> New Source Performance Standards</w:t>
      </w:r>
    </w:p>
    <w:p w:rsidR="00DB42F9" w:rsidRPr="00D15774" w:rsidRDefault="00042617" w:rsidP="00DB42F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D15774">
        <w:tab/>
        <w:t>b.</w:t>
      </w:r>
      <w:r w:rsidRPr="00D15774">
        <w:tab/>
        <w:t xml:space="preserve">Summary of </w:t>
      </w:r>
      <w:r w:rsidR="006B3125" w:rsidRPr="00D15774">
        <w:t>Adopted</w:t>
      </w:r>
      <w:r w:rsidRPr="00D15774">
        <w:t xml:space="preserve"> National Emission Standards for Hazardous Air Pollutants</w:t>
      </w:r>
    </w:p>
    <w:p w:rsidR="00AD5824" w:rsidRPr="00D15774" w:rsidRDefault="00AD5824" w:rsidP="00DB42F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D15774">
        <w:t>3.</w:t>
      </w:r>
      <w:r w:rsidRPr="00D15774">
        <w:tab/>
      </w:r>
      <w:r w:rsidR="00FF4A40" w:rsidRPr="00D15774">
        <w:t xml:space="preserve">Review of </w:t>
      </w:r>
      <w:r w:rsidRPr="00D15774">
        <w:t>EPA Combustion Air Regulations</w:t>
      </w:r>
    </w:p>
    <w:p w:rsidR="00AD5824" w:rsidRPr="00D15774" w:rsidRDefault="00AD5824" w:rsidP="00DB42F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D15774">
        <w:tab/>
        <w:t>a.</w:t>
      </w:r>
      <w:r w:rsidRPr="00D15774">
        <w:tab/>
      </w:r>
      <w:r w:rsidR="00E9430F" w:rsidRPr="00D15774">
        <w:t xml:space="preserve">NSPS </w:t>
      </w:r>
      <w:r w:rsidRPr="00D15774">
        <w:t>Subpart Db</w:t>
      </w:r>
      <w:bookmarkStart w:id="8" w:name="_GoBack"/>
      <w:bookmarkEnd w:id="8"/>
      <w:r w:rsidRPr="00D15774">
        <w:t xml:space="preserve"> and Dc</w:t>
      </w:r>
    </w:p>
    <w:p w:rsidR="00AD5824" w:rsidRPr="00D15774" w:rsidRDefault="00AD5824" w:rsidP="00DB42F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D15774">
        <w:tab/>
        <w:t>b.</w:t>
      </w:r>
      <w:r w:rsidRPr="00D15774">
        <w:tab/>
      </w:r>
      <w:r w:rsidR="00E9430F" w:rsidRPr="00D15774">
        <w:t xml:space="preserve">NSPS </w:t>
      </w:r>
      <w:r w:rsidRPr="00D15774">
        <w:t>Subpart IIII</w:t>
      </w:r>
    </w:p>
    <w:p w:rsidR="00AD5824" w:rsidRPr="00D15774" w:rsidRDefault="00AD5824" w:rsidP="00DB42F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D15774">
        <w:tab/>
        <w:t>c.</w:t>
      </w:r>
      <w:r w:rsidRPr="00D15774">
        <w:tab/>
      </w:r>
      <w:r w:rsidR="00E9430F" w:rsidRPr="00D15774">
        <w:t xml:space="preserve">NSPS </w:t>
      </w:r>
      <w:r w:rsidRPr="00D15774">
        <w:t>Subpart JJJJ</w:t>
      </w:r>
    </w:p>
    <w:p w:rsidR="00AD5824" w:rsidRPr="00D15774" w:rsidRDefault="00AD5824" w:rsidP="00DB42F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D15774">
        <w:tab/>
        <w:t>d.</w:t>
      </w:r>
      <w:r w:rsidRPr="00D15774">
        <w:tab/>
      </w:r>
      <w:r w:rsidR="00E9430F" w:rsidRPr="00D15774">
        <w:t xml:space="preserve">NSPS </w:t>
      </w:r>
      <w:r w:rsidRPr="00D15774">
        <w:t>Subpart KKKK</w:t>
      </w:r>
    </w:p>
    <w:p w:rsidR="001C4F42" w:rsidRPr="00D15774" w:rsidRDefault="001C4F42" w:rsidP="00DB42F9">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D15774">
        <w:tab/>
        <w:t>e.</w:t>
      </w:r>
      <w:r w:rsidRPr="00D15774">
        <w:tab/>
        <w:t>Nonroad Mobile Internal Combustion Engine Standards</w:t>
      </w:r>
    </w:p>
    <w:p w:rsidR="00042617" w:rsidRPr="00D15774" w:rsidRDefault="00AD5824">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54" w:hanging="354"/>
      </w:pPr>
      <w:r w:rsidRPr="00D15774">
        <w:t>4</w:t>
      </w:r>
      <w:r w:rsidR="00042617" w:rsidRPr="00D15774">
        <w:t>.</w:t>
      </w:r>
      <w:r w:rsidR="00042617" w:rsidRPr="00D15774">
        <w:tab/>
        <w:t>Review of State Oil and Natural Gas Rules</w:t>
      </w:r>
    </w:p>
    <w:p w:rsidR="00042617" w:rsidRPr="00D15774" w:rsidRDefault="000426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D15774">
        <w:tab/>
        <w:t>a.</w:t>
      </w:r>
      <w:r w:rsidRPr="00D15774">
        <w:tab/>
        <w:t>Summary of Existing State Rules</w:t>
      </w:r>
    </w:p>
    <w:p w:rsidR="00042617" w:rsidRPr="00D15774" w:rsidRDefault="00042617">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D15774">
        <w:tab/>
        <w:t>b.</w:t>
      </w:r>
      <w:r w:rsidRPr="00D15774">
        <w:tab/>
        <w:t>Potential Overlap</w:t>
      </w:r>
      <w:r w:rsidR="00F343E2" w:rsidRPr="00D15774">
        <w:t xml:space="preserve"> </w:t>
      </w:r>
      <w:r w:rsidR="00381C28" w:rsidRPr="00D15774">
        <w:t>with</w:t>
      </w:r>
      <w:r w:rsidRPr="00D15774">
        <w:t xml:space="preserve"> </w:t>
      </w:r>
      <w:r w:rsidR="00B00294" w:rsidRPr="00D15774">
        <w:t>F</w:t>
      </w:r>
      <w:r w:rsidR="00956808" w:rsidRPr="00D15774">
        <w:t>ederal</w:t>
      </w:r>
      <w:r w:rsidRPr="00D15774">
        <w:t xml:space="preserve"> O&amp;G Rules</w:t>
      </w:r>
    </w:p>
    <w:p w:rsidR="00042617" w:rsidRPr="00D15774" w:rsidRDefault="00AD5824">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54" w:hanging="354"/>
      </w:pPr>
      <w:r w:rsidRPr="00D15774">
        <w:t>5</w:t>
      </w:r>
      <w:r w:rsidR="00042617" w:rsidRPr="00D15774">
        <w:t>.</w:t>
      </w:r>
      <w:r w:rsidR="00042617" w:rsidRPr="00D15774">
        <w:tab/>
        <w:t>WRAP Phase III Oil and Natural Gas Emission Inventories – Baseline Data</w:t>
      </w:r>
    </w:p>
    <w:p w:rsidR="00C66E10" w:rsidRDefault="00042617" w:rsidP="00C66E10">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D15774">
        <w:tab/>
        <w:t>a.</w:t>
      </w:r>
      <w:r w:rsidRPr="00D15774">
        <w:tab/>
        <w:t>Phase III O&amp;G Basin Emissions</w:t>
      </w:r>
    </w:p>
    <w:p w:rsidR="00142696" w:rsidRPr="00D15774" w:rsidRDefault="00142696" w:rsidP="00C66E10">
      <w:pPr>
        <w:widowControl w:val="0"/>
        <w:tabs>
          <w:tab w:val="left" w:pos="-1080"/>
          <w:tab w:val="left" w:pos="-720"/>
          <w:tab w:val="left" w:pos="0"/>
          <w:tab w:val="left" w:pos="354"/>
          <w:tab w:val="left" w:pos="720"/>
          <w:tab w:val="left" w:pos="1103"/>
          <w:tab w:val="left" w:pos="1462"/>
          <w:tab w:val="right" w:leader="dot" w:pos="932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t>6.</w:t>
      </w:r>
      <w:r>
        <w:tab/>
        <w:t>BLM Sponsored Montana Great Plains &amp; Williston Basin Emission Inventory</w:t>
      </w:r>
    </w:p>
    <w:p w:rsidR="008A6709" w:rsidRPr="00D15774" w:rsidRDefault="008A6709">
      <w:r w:rsidRPr="00D15774">
        <w:br w:type="page"/>
      </w:r>
    </w:p>
    <w:p w:rsidR="00042617" w:rsidRPr="00142696" w:rsidRDefault="00042617" w:rsidP="000B0BB8">
      <w:pPr>
        <w:pStyle w:val="Heading1"/>
        <w:rPr>
          <w:rFonts w:ascii="Times New Roman" w:hAnsi="Times New Roman" w:cs="Times New Roman"/>
          <w:b/>
          <w:color w:val="auto"/>
          <w:sz w:val="26"/>
          <w:szCs w:val="26"/>
        </w:rPr>
      </w:pPr>
      <w:bookmarkStart w:id="9" w:name="_Toc369086980"/>
      <w:r w:rsidRPr="00142696">
        <w:rPr>
          <w:rFonts w:ascii="Times New Roman" w:hAnsi="Times New Roman" w:cs="Times New Roman"/>
          <w:b/>
          <w:color w:val="auto"/>
          <w:sz w:val="26"/>
          <w:szCs w:val="26"/>
        </w:rPr>
        <w:lastRenderedPageBreak/>
        <w:t xml:space="preserve">1.   REVIEW OF NEW SOURCES </w:t>
      </w:r>
      <w:r w:rsidR="00EF36EA" w:rsidRPr="00142696">
        <w:rPr>
          <w:rFonts w:ascii="Times New Roman" w:hAnsi="Times New Roman" w:cs="Times New Roman"/>
          <w:b/>
          <w:color w:val="auto"/>
          <w:sz w:val="26"/>
          <w:szCs w:val="26"/>
        </w:rPr>
        <w:t>&amp;</w:t>
      </w:r>
      <w:r w:rsidRPr="00142696">
        <w:rPr>
          <w:rFonts w:ascii="Times New Roman" w:hAnsi="Times New Roman" w:cs="Times New Roman"/>
          <w:b/>
          <w:color w:val="auto"/>
          <w:sz w:val="26"/>
          <w:szCs w:val="26"/>
        </w:rPr>
        <w:t xml:space="preserve"> MODIFICATIONS IN INDIAN COUNTRY</w:t>
      </w:r>
      <w:bookmarkEnd w:id="9"/>
      <w:r w:rsidR="00E21C92" w:rsidRPr="00142696">
        <w:rPr>
          <w:rFonts w:ascii="Times New Roman" w:hAnsi="Times New Roman" w:cs="Times New Roman"/>
          <w:b/>
          <w:color w:val="auto"/>
          <w:sz w:val="26"/>
          <w:szCs w:val="26"/>
        </w:rPr>
        <w:fldChar w:fldCharType="begin"/>
      </w:r>
      <w:r w:rsidRPr="00142696">
        <w:rPr>
          <w:rFonts w:ascii="Times New Roman" w:hAnsi="Times New Roman" w:cs="Times New Roman"/>
          <w:b/>
          <w:color w:val="auto"/>
          <w:sz w:val="26"/>
          <w:szCs w:val="26"/>
        </w:rPr>
        <w:instrText xml:space="preserve"> TC \l1 "</w:instrText>
      </w:r>
      <w:bookmarkStart w:id="10" w:name="_Toc363192308"/>
      <w:r w:rsidRPr="00142696">
        <w:rPr>
          <w:rFonts w:ascii="Times New Roman" w:hAnsi="Times New Roman" w:cs="Times New Roman"/>
          <w:b/>
          <w:color w:val="auto"/>
          <w:sz w:val="26"/>
          <w:szCs w:val="26"/>
        </w:rPr>
        <w:instrText>1.  RECENTLY ADOPTED FEDERAL RULES:  REVIEW OF NEW SOURCES AND MODIFICATIONS IN INDIAN COUNTRY</w:instrText>
      </w:r>
      <w:bookmarkEnd w:id="10"/>
      <w:r w:rsidR="00E21C92" w:rsidRPr="00142696">
        <w:rPr>
          <w:rFonts w:ascii="Times New Roman" w:hAnsi="Times New Roman" w:cs="Times New Roman"/>
          <w:b/>
          <w:color w:val="auto"/>
          <w:sz w:val="26"/>
          <w:szCs w:val="26"/>
        </w:rPr>
        <w:fldChar w:fldCharType="end"/>
      </w:r>
      <w:r w:rsidRPr="00142696">
        <w:rPr>
          <w:rFonts w:ascii="Times New Roman" w:hAnsi="Times New Roman" w:cs="Times New Roman"/>
          <w:b/>
          <w:color w:val="auto"/>
          <w:sz w:val="26"/>
          <w:szCs w:val="26"/>
        </w:rPr>
        <w:t xml:space="preserve"> </w:t>
      </w:r>
    </w:p>
    <w:p w:rsidR="00042617" w:rsidRPr="00D15774" w:rsidRDefault="00042617" w:rsidP="000B0BB8">
      <w:pPr>
        <w:pStyle w:val="Heading2"/>
        <w:rPr>
          <w:rFonts w:ascii="Times New Roman" w:hAnsi="Times New Roman" w:cs="Times New Roman"/>
        </w:rPr>
      </w:pPr>
    </w:p>
    <w:p w:rsidR="00042617" w:rsidRPr="00D15774" w:rsidRDefault="00042617" w:rsidP="000B0BB8">
      <w:pPr>
        <w:pStyle w:val="Heading2"/>
        <w:rPr>
          <w:rFonts w:ascii="Times New Roman" w:hAnsi="Times New Roman" w:cs="Times New Roman"/>
          <w:color w:val="auto"/>
        </w:rPr>
      </w:pPr>
      <w:bookmarkStart w:id="11" w:name="_Toc369086981"/>
      <w:r w:rsidRPr="00D15774">
        <w:rPr>
          <w:rFonts w:ascii="Times New Roman" w:hAnsi="Times New Roman" w:cs="Times New Roman"/>
          <w:b/>
          <w:color w:val="auto"/>
          <w:u w:val="single"/>
        </w:rPr>
        <w:t>Background and Overview of Action</w:t>
      </w:r>
      <w:bookmarkEnd w:id="11"/>
      <w:r w:rsidR="00E21C92" w:rsidRPr="00D15774">
        <w:rPr>
          <w:rFonts w:ascii="Times New Roman" w:hAnsi="Times New Roman" w:cs="Times New Roman"/>
          <w:color w:val="auto"/>
        </w:rPr>
        <w:fldChar w:fldCharType="begin"/>
      </w:r>
      <w:r w:rsidRPr="00D15774">
        <w:rPr>
          <w:rFonts w:ascii="Times New Roman" w:hAnsi="Times New Roman" w:cs="Times New Roman"/>
          <w:b/>
          <w:color w:val="auto"/>
          <w:u w:val="single"/>
        </w:rPr>
        <w:instrText xml:space="preserve"> TC \l2 "</w:instrText>
      </w:r>
      <w:bookmarkStart w:id="12" w:name="_Toc363192309"/>
      <w:r w:rsidRPr="00D15774">
        <w:rPr>
          <w:rFonts w:ascii="Times New Roman" w:hAnsi="Times New Roman" w:cs="Times New Roman"/>
          <w:b/>
          <w:color w:val="auto"/>
          <w:u w:val="single"/>
        </w:rPr>
        <w:instrText>Background and Overview of Action</w:instrText>
      </w:r>
      <w:bookmarkEnd w:id="12"/>
      <w:r w:rsidR="00E21C92" w:rsidRPr="00D15774">
        <w:rPr>
          <w:rFonts w:ascii="Times New Roman" w:hAnsi="Times New Roman" w:cs="Times New Roman"/>
          <w:color w:val="auto"/>
        </w:rPr>
        <w:fldChar w:fldCharType="end"/>
      </w:r>
    </w:p>
    <w:p w:rsidR="00042617" w:rsidRPr="00D15774" w:rsidRDefault="00042617">
      <w:pPr>
        <w:widowControl w:val="0"/>
        <w:tabs>
          <w:tab w:val="left" w:pos="325"/>
          <w:tab w:val="left" w:pos="700"/>
          <w:tab w:val="left" w:pos="1090"/>
        </w:tabs>
      </w:pPr>
    </w:p>
    <w:p w:rsidR="00042617" w:rsidRPr="00D15774" w:rsidRDefault="00042617">
      <w:pPr>
        <w:widowControl w:val="0"/>
        <w:tabs>
          <w:tab w:val="left" w:pos="325"/>
          <w:tab w:val="left" w:pos="700"/>
          <w:tab w:val="left" w:pos="1090"/>
        </w:tabs>
      </w:pPr>
      <w:r w:rsidRPr="00D15774">
        <w:t xml:space="preserve">On June 10, 2011, EPA finalized a </w:t>
      </w:r>
      <w:r w:rsidR="00B00294" w:rsidRPr="00D15774">
        <w:t>F</w:t>
      </w:r>
      <w:r w:rsidR="00956808" w:rsidRPr="00D15774">
        <w:t>ederal</w:t>
      </w:r>
      <w:r w:rsidRPr="00D15774">
        <w:t xml:space="preserve"> Implementation Plan (FIP</w:t>
      </w:r>
      <w:r w:rsidR="00F343E2" w:rsidRPr="00D15774">
        <w:t xml:space="preserve">) to ensure that Clean Air Act </w:t>
      </w:r>
      <w:r w:rsidRPr="00D15774">
        <w:t xml:space="preserve">permitting requirements are applied consistently to facilities in Indian country. This FIP is known as “Review of New Sources and Modifications in Indian Country”.  The FIP puts in place the two remaining pieces of the New Source Review (NSR) preconstruction air permitting program </w:t>
      </w:r>
      <w:r w:rsidR="00461A3D" w:rsidRPr="00D15774">
        <w:t>in Indian country, those pieces addressing 1)</w:t>
      </w:r>
      <w:r w:rsidR="001B50BF" w:rsidRPr="00D15774">
        <w:t xml:space="preserve"> </w:t>
      </w:r>
      <w:r w:rsidRPr="00D15774">
        <w:t xml:space="preserve">Nonattainment and </w:t>
      </w:r>
      <w:r w:rsidR="001B50BF" w:rsidRPr="00D15774">
        <w:t>2</w:t>
      </w:r>
      <w:r w:rsidR="00461A3D" w:rsidRPr="00D15774">
        <w:t>)</w:t>
      </w:r>
      <w:r w:rsidR="001B50BF" w:rsidRPr="00D15774">
        <w:t xml:space="preserve"> </w:t>
      </w:r>
      <w:r w:rsidRPr="00D15774">
        <w:t>Minor Sources</w:t>
      </w:r>
      <w:r w:rsidR="00461A3D" w:rsidRPr="00D15774">
        <w:t>.</w:t>
      </w:r>
      <w:r w:rsidRPr="00D15774">
        <w:t xml:space="preserve"> </w:t>
      </w:r>
      <w:r w:rsidR="00461A3D" w:rsidRPr="00D15774">
        <w:t xml:space="preserve"> The FIP</w:t>
      </w:r>
      <w:r w:rsidRPr="00D15774">
        <w:t xml:space="preserve"> lays out requirements for EPA to issue air permits to sources in Indian country, or allows tribes to take responsibility for issuing air permits according to EPA’s requirements.  Together with existing Prevention of Significant Deterioration (PSD) rules for permitting major sources in areas of Indian country that currently meet clean air health standards, the provisions of this new FIP completes the </w:t>
      </w:r>
      <w:r w:rsidR="00956808" w:rsidRPr="00D15774">
        <w:t>federal</w:t>
      </w:r>
      <w:r w:rsidRPr="00D15774">
        <w:t xml:space="preserve"> program for issuing all preconstruction air permits in Indian country.  This permit program is similar to the existing permit programs of the states and will provide industries the same permitting opportunities and requirements</w:t>
      </w:r>
      <w:r w:rsidR="00E9430F" w:rsidRPr="00D15774">
        <w:t xml:space="preserve"> on tribal lands</w:t>
      </w:r>
      <w:r w:rsidRPr="00D15774">
        <w:t xml:space="preserve"> as </w:t>
      </w:r>
      <w:r w:rsidR="00E9430F" w:rsidRPr="00D15774">
        <w:t>exist</w:t>
      </w:r>
      <w:r w:rsidRPr="00D15774">
        <w:t xml:space="preserve"> </w:t>
      </w:r>
      <w:r w:rsidR="00F472B4" w:rsidRPr="00D15774">
        <w:t>o</w:t>
      </w:r>
      <w:r w:rsidRPr="00D15774">
        <w:t>n state</w:t>
      </w:r>
      <w:r w:rsidR="00F472B4" w:rsidRPr="00D15774">
        <w:t xml:space="preserve"> administrated land</w:t>
      </w:r>
      <w:r w:rsidRPr="00D15774">
        <w:t>s.</w:t>
      </w:r>
    </w:p>
    <w:p w:rsidR="006E02DA" w:rsidRPr="00D15774" w:rsidRDefault="006E02DA">
      <w:pPr>
        <w:widowControl w:val="0"/>
        <w:tabs>
          <w:tab w:val="left" w:pos="325"/>
          <w:tab w:val="left" w:pos="700"/>
          <w:tab w:val="left" w:pos="1090"/>
        </w:tabs>
      </w:pPr>
    </w:p>
    <w:p w:rsidR="00042617" w:rsidRPr="00D15774" w:rsidRDefault="00D2713D">
      <w:pPr>
        <w:widowControl w:val="0"/>
        <w:tabs>
          <w:tab w:val="left" w:pos="325"/>
          <w:tab w:val="left" w:pos="700"/>
          <w:tab w:val="left" w:pos="1090"/>
        </w:tabs>
      </w:pPr>
      <w:r w:rsidRPr="00D15774">
        <w:t>The E</w:t>
      </w:r>
      <w:r w:rsidR="00042617" w:rsidRPr="00D15774">
        <w:t xml:space="preserve">PA already had the </w:t>
      </w:r>
      <w:r w:rsidR="00956808" w:rsidRPr="00D15774">
        <w:t>federal</w:t>
      </w:r>
      <w:r w:rsidR="00042617" w:rsidRPr="00D15774">
        <w:t xml:space="preserve"> PSD plan in place for major sources in attainment areas in Indian country and had been issuing permits prior to this new action.  The June 10, 2011 action puts </w:t>
      </w:r>
      <w:r w:rsidRPr="00D15774">
        <w:t>the</w:t>
      </w:r>
      <w:r w:rsidR="00042617" w:rsidRPr="00D15774">
        <w:t xml:space="preserve"> plan in place for</w:t>
      </w:r>
      <w:r w:rsidR="00E9430F" w:rsidRPr="00D15774">
        <w:t xml:space="preserve"> 1)</w:t>
      </w:r>
      <w:r w:rsidR="00042617" w:rsidRPr="00D15774">
        <w:t xml:space="preserve"> a nonattainment major NSR program and </w:t>
      </w:r>
      <w:r w:rsidR="00E9430F" w:rsidRPr="00D15774">
        <w:t xml:space="preserve">2) </w:t>
      </w:r>
      <w:r w:rsidR="00042617" w:rsidRPr="00D15774">
        <w:t xml:space="preserve">a minor NSR program in Indian country. </w:t>
      </w:r>
      <w:r w:rsidR="006E02DA" w:rsidRPr="00D15774">
        <w:t xml:space="preserve"> </w:t>
      </w:r>
      <w:r w:rsidR="00042617" w:rsidRPr="00D15774">
        <w:t>According to EPA only a few tribes have been administering an EPA approved minor NSR program and no tribes have been administering EPA approved nonattainment major NSR programs.</w:t>
      </w:r>
    </w:p>
    <w:p w:rsidR="00042617" w:rsidRPr="00D15774" w:rsidRDefault="00042617">
      <w:pPr>
        <w:widowControl w:val="0"/>
        <w:tabs>
          <w:tab w:val="left" w:pos="325"/>
          <w:tab w:val="left" w:pos="700"/>
          <w:tab w:val="left" w:pos="1090"/>
        </w:tabs>
      </w:pPr>
    </w:p>
    <w:p w:rsidR="00042617" w:rsidRPr="00D15774" w:rsidRDefault="00042617">
      <w:pPr>
        <w:widowControl w:val="0"/>
        <w:tabs>
          <w:tab w:val="left" w:pos="325"/>
          <w:tab w:val="left" w:pos="700"/>
          <w:tab w:val="left" w:pos="1090"/>
        </w:tabs>
      </w:pPr>
      <w:r w:rsidRPr="00D15774">
        <w:t>N</w:t>
      </w:r>
      <w:r w:rsidR="00461A3D" w:rsidRPr="00D15774">
        <w:t xml:space="preserve">ew </w:t>
      </w:r>
      <w:r w:rsidRPr="00D15774">
        <w:t>S</w:t>
      </w:r>
      <w:r w:rsidR="00461A3D" w:rsidRPr="00D15774">
        <w:t>ource Review</w:t>
      </w:r>
      <w:r w:rsidRPr="00D15774">
        <w:t xml:space="preserve"> is a </w:t>
      </w:r>
      <w:r w:rsidR="0007546A" w:rsidRPr="00D15774">
        <w:t xml:space="preserve">federal </w:t>
      </w:r>
      <w:r w:rsidRPr="00D15774">
        <w:t>Clean Air Act</w:t>
      </w:r>
      <w:r w:rsidR="00D2713D" w:rsidRPr="00D15774">
        <w:t xml:space="preserve"> program commonly known as the ”p</w:t>
      </w:r>
      <w:r w:rsidRPr="00D15774">
        <w:t>reconstruction air permitting progra</w:t>
      </w:r>
      <w:r w:rsidR="00D2713D" w:rsidRPr="00D15774">
        <w:t>m”</w:t>
      </w:r>
      <w:r w:rsidRPr="00D15774">
        <w:t xml:space="preserve"> that requires industrial facilities to install modern pollution control equipment when they are</w:t>
      </w:r>
      <w:r w:rsidR="00830703" w:rsidRPr="00D15774">
        <w:t xml:space="preserve"> first</w:t>
      </w:r>
      <w:r w:rsidRPr="00D15774">
        <w:t xml:space="preserve"> built or when </w:t>
      </w:r>
      <w:r w:rsidR="00461A3D" w:rsidRPr="00D15774">
        <w:t xml:space="preserve">owners/operators </w:t>
      </w:r>
      <w:r w:rsidRPr="00D15774">
        <w:t>mak</w:t>
      </w:r>
      <w:r w:rsidR="00461A3D" w:rsidRPr="00D15774">
        <w:t>e</w:t>
      </w:r>
      <w:r w:rsidRPr="00D15774">
        <w:t xml:space="preserve"> a change</w:t>
      </w:r>
      <w:r w:rsidR="00461A3D" w:rsidRPr="00D15774">
        <w:t>s</w:t>
      </w:r>
      <w:r w:rsidRPr="00D15774">
        <w:t xml:space="preserve"> that </w:t>
      </w:r>
      <w:r w:rsidR="00830703" w:rsidRPr="00D15774">
        <w:t xml:space="preserve">significantly </w:t>
      </w:r>
      <w:r w:rsidRPr="00D15774">
        <w:t>in</w:t>
      </w:r>
      <w:r w:rsidR="00381C28" w:rsidRPr="00D15774">
        <w:t>crease emissions.</w:t>
      </w:r>
      <w:r w:rsidRPr="00D15774">
        <w:t xml:space="preserve"> The program accomplishes this when owners or operators obtain permits limiting air emissions increases before they begin construction</w:t>
      </w:r>
      <w:r w:rsidR="00830703" w:rsidRPr="00D15774">
        <w:t>/modification</w:t>
      </w:r>
      <w:r w:rsidRPr="00D15774">
        <w:t xml:space="preserve">.  The purpose of the NSR program is to protect public health and the environment, even as new industrial facilities are built and existing facilities expand.  Specifically, its purpose is to ensure that </w:t>
      </w:r>
      <w:r w:rsidR="00461A3D" w:rsidRPr="00D15774">
        <w:t xml:space="preserve">air quality </w:t>
      </w:r>
      <w:r w:rsidRPr="00D15774">
        <w:t xml:space="preserve">1) does not worsen where the air is currently unhealthy (i.e. </w:t>
      </w:r>
      <w:r w:rsidR="0007546A" w:rsidRPr="00D15774">
        <w:t xml:space="preserve">in </w:t>
      </w:r>
      <w:r w:rsidRPr="00D15774">
        <w:t>nonattainment areas) and 2) is not s</w:t>
      </w:r>
      <w:r w:rsidR="00461A3D" w:rsidRPr="00D15774">
        <w:t xml:space="preserve">ignificantly degraded where </w:t>
      </w:r>
      <w:r w:rsidRPr="00D15774">
        <w:t xml:space="preserve">air </w:t>
      </w:r>
      <w:r w:rsidR="00BA1F92" w:rsidRPr="00D15774">
        <w:t>is</w:t>
      </w:r>
      <w:r w:rsidRPr="00D15774">
        <w:t xml:space="preserve"> currently </w:t>
      </w:r>
      <w:r w:rsidR="00E9430F" w:rsidRPr="00D15774">
        <w:t xml:space="preserve">clean - </w:t>
      </w:r>
      <w:r w:rsidR="00BA1F92" w:rsidRPr="00D15774">
        <w:t xml:space="preserve">pollutant levels </w:t>
      </w:r>
      <w:r w:rsidR="00E9430F" w:rsidRPr="00D15774">
        <w:t>below</w:t>
      </w:r>
      <w:r w:rsidR="00BA1F92" w:rsidRPr="00D15774">
        <w:t xml:space="preserve"> </w:t>
      </w:r>
      <w:r w:rsidR="00830703" w:rsidRPr="00D15774">
        <w:t xml:space="preserve">ambient </w:t>
      </w:r>
      <w:r w:rsidR="0007546A" w:rsidRPr="00D15774">
        <w:t>air quality standards</w:t>
      </w:r>
      <w:r w:rsidRPr="00D15774">
        <w:t xml:space="preserve"> (i.e. attainment areas).</w:t>
      </w:r>
    </w:p>
    <w:p w:rsidR="00042617" w:rsidRPr="00D15774" w:rsidRDefault="00042617">
      <w:pPr>
        <w:widowControl w:val="0"/>
        <w:tabs>
          <w:tab w:val="left" w:pos="325"/>
          <w:tab w:val="left" w:pos="700"/>
          <w:tab w:val="left" w:pos="1090"/>
        </w:tabs>
      </w:pPr>
    </w:p>
    <w:p w:rsidR="00042617" w:rsidRPr="00D15774" w:rsidRDefault="00042617">
      <w:pPr>
        <w:widowControl w:val="0"/>
        <w:tabs>
          <w:tab w:val="left" w:pos="325"/>
          <w:tab w:val="left" w:pos="700"/>
          <w:tab w:val="left" w:pos="1090"/>
        </w:tabs>
      </w:pPr>
      <w:r w:rsidRPr="00D15774">
        <w:t>There are three types of NSR permitting programs, each with a different set of requirements. A facility may have to meet one or more of these sets of permitting requirements.</w:t>
      </w:r>
    </w:p>
    <w:p w:rsidR="00042617" w:rsidRPr="00D15774" w:rsidRDefault="00042617">
      <w:pPr>
        <w:widowControl w:val="0"/>
        <w:tabs>
          <w:tab w:val="left" w:pos="325"/>
          <w:tab w:val="left" w:pos="700"/>
          <w:tab w:val="left" w:pos="1090"/>
        </w:tabs>
      </w:pPr>
    </w:p>
    <w:p w:rsidR="00042617" w:rsidRPr="00D15774" w:rsidRDefault="00042617">
      <w:pPr>
        <w:widowControl w:val="0"/>
        <w:tabs>
          <w:tab w:val="left" w:pos="325"/>
          <w:tab w:val="left" w:pos="700"/>
          <w:tab w:val="left" w:pos="1090"/>
        </w:tabs>
        <w:ind w:left="700" w:hanging="375"/>
      </w:pPr>
      <w:r w:rsidRPr="00D15774">
        <w:t>○</w:t>
      </w:r>
      <w:r w:rsidRPr="00D15774">
        <w:tab/>
      </w:r>
      <w:r w:rsidRPr="00D15774">
        <w:rPr>
          <w:u w:val="single"/>
        </w:rPr>
        <w:t>Prevention of Significant Deterioration (PSD) program</w:t>
      </w:r>
      <w:r w:rsidRPr="00D15774">
        <w:t xml:space="preserve"> applies to a new major source or a source making a major modification in an attainment area.  </w:t>
      </w:r>
    </w:p>
    <w:p w:rsidR="00042617" w:rsidRPr="00D15774" w:rsidRDefault="00042617">
      <w:pPr>
        <w:widowControl w:val="0"/>
        <w:tabs>
          <w:tab w:val="left" w:pos="325"/>
          <w:tab w:val="left" w:pos="700"/>
          <w:tab w:val="left" w:pos="1090"/>
        </w:tabs>
        <w:ind w:left="700" w:hanging="375"/>
      </w:pPr>
      <w:r w:rsidRPr="00D15774">
        <w:t>○</w:t>
      </w:r>
      <w:r w:rsidRPr="00D15774">
        <w:tab/>
      </w:r>
      <w:r w:rsidRPr="00D15774">
        <w:rPr>
          <w:u w:val="single"/>
        </w:rPr>
        <w:t>Nonattainment NSR program</w:t>
      </w:r>
      <w:r w:rsidRPr="00D15774">
        <w:t xml:space="preserve"> applies to a new major so</w:t>
      </w:r>
      <w:r w:rsidR="00F343E2" w:rsidRPr="00D15774">
        <w:t>urce or a source making a major</w:t>
      </w:r>
      <w:r w:rsidRPr="00D15774">
        <w:t xml:space="preserve"> </w:t>
      </w:r>
      <w:r w:rsidR="00F343E2" w:rsidRPr="00D15774">
        <w:lastRenderedPageBreak/>
        <w:t>m</w:t>
      </w:r>
      <w:r w:rsidRPr="00D15774">
        <w:t>odification in a nonattainment ar</w:t>
      </w:r>
      <w:r w:rsidR="00755A66" w:rsidRPr="00D15774">
        <w:t>ea</w:t>
      </w:r>
      <w:r w:rsidRPr="00D15774">
        <w:t xml:space="preserve">.  </w:t>
      </w:r>
    </w:p>
    <w:p w:rsidR="00042617" w:rsidRPr="00D15774" w:rsidRDefault="00042617">
      <w:pPr>
        <w:widowControl w:val="0"/>
        <w:tabs>
          <w:tab w:val="left" w:pos="325"/>
          <w:tab w:val="left" w:pos="700"/>
          <w:tab w:val="left" w:pos="1090"/>
        </w:tabs>
        <w:ind w:left="700" w:hanging="375"/>
      </w:pPr>
      <w:r w:rsidRPr="00D15774">
        <w:t>○</w:t>
      </w:r>
      <w:r w:rsidRPr="00D15774">
        <w:tab/>
      </w:r>
      <w:r w:rsidRPr="00D15774">
        <w:rPr>
          <w:u w:val="single"/>
        </w:rPr>
        <w:t>Minor NSR program</w:t>
      </w:r>
      <w:r w:rsidRPr="00D15774">
        <w:t xml:space="preserve"> applies to a new minor source and/or a minor modification at both major and minor sources, in both attainment and nonattainment areas. </w:t>
      </w:r>
    </w:p>
    <w:p w:rsidR="00042617" w:rsidRPr="00D15774" w:rsidRDefault="00042617">
      <w:pPr>
        <w:widowControl w:val="0"/>
        <w:tabs>
          <w:tab w:val="left" w:pos="325"/>
          <w:tab w:val="left" w:pos="700"/>
          <w:tab w:val="left" w:pos="1090"/>
        </w:tabs>
      </w:pPr>
    </w:p>
    <w:p w:rsidR="00042617" w:rsidRPr="00D15774" w:rsidRDefault="00042617">
      <w:pPr>
        <w:widowControl w:val="0"/>
        <w:tabs>
          <w:tab w:val="left" w:pos="325"/>
          <w:tab w:val="left" w:pos="700"/>
          <w:tab w:val="left" w:pos="1090"/>
        </w:tabs>
      </w:pPr>
      <w:r w:rsidRPr="00D15774">
        <w:t xml:space="preserve">This </w:t>
      </w:r>
      <w:r w:rsidR="00830703" w:rsidRPr="00D15774">
        <w:t xml:space="preserve">particular </w:t>
      </w:r>
      <w:r w:rsidRPr="00D15774">
        <w:t xml:space="preserve">FIP </w:t>
      </w:r>
      <w:r w:rsidR="00380DFC" w:rsidRPr="00D15774">
        <w:t xml:space="preserve">addresses the latter two issues and </w:t>
      </w:r>
      <w:r w:rsidRPr="00D15774">
        <w:t>is made up of two rules to protect air quality:</w:t>
      </w:r>
    </w:p>
    <w:p w:rsidR="00042617" w:rsidRPr="00D15774" w:rsidRDefault="00042617">
      <w:pPr>
        <w:widowControl w:val="0"/>
        <w:tabs>
          <w:tab w:val="left" w:pos="325"/>
          <w:tab w:val="left" w:pos="700"/>
          <w:tab w:val="left" w:pos="1090"/>
        </w:tabs>
      </w:pPr>
      <w:r w:rsidRPr="00D15774">
        <w:t xml:space="preserve"> </w:t>
      </w:r>
    </w:p>
    <w:p w:rsidR="00042617" w:rsidRPr="00D15774" w:rsidRDefault="00042617">
      <w:pPr>
        <w:widowControl w:val="0"/>
        <w:tabs>
          <w:tab w:val="left" w:pos="325"/>
          <w:tab w:val="left" w:pos="700"/>
          <w:tab w:val="left" w:pos="1090"/>
        </w:tabs>
        <w:ind w:left="700" w:hanging="375"/>
      </w:pPr>
      <w:r w:rsidRPr="00D15774">
        <w:t>○</w:t>
      </w:r>
      <w:r w:rsidRPr="00D15774">
        <w:tab/>
        <w:t>The minor NSR rule applies to new and modified small facilities or to minor modifications at large facilities</w:t>
      </w:r>
      <w:r w:rsidR="00380DFC" w:rsidRPr="00D15774">
        <w:t xml:space="preserve"> in all of Indian country.</w:t>
      </w:r>
    </w:p>
    <w:p w:rsidR="00042617" w:rsidRPr="00D15774" w:rsidRDefault="00042617">
      <w:pPr>
        <w:widowControl w:val="0"/>
        <w:tabs>
          <w:tab w:val="left" w:pos="325"/>
          <w:tab w:val="left" w:pos="700"/>
          <w:tab w:val="left" w:pos="1090"/>
        </w:tabs>
        <w:ind w:left="700" w:hanging="375"/>
      </w:pPr>
      <w:r w:rsidRPr="00D15774">
        <w:t>○</w:t>
      </w:r>
      <w:r w:rsidRPr="00D15774">
        <w:tab/>
        <w:t>The nonattainment major NSR rule applies to new major sources or major sources that make significant modifications in areas of Indian country that do not meet national clean air health standards.</w:t>
      </w:r>
    </w:p>
    <w:p w:rsidR="00042617" w:rsidRPr="00D15774" w:rsidRDefault="00042617">
      <w:pPr>
        <w:widowControl w:val="0"/>
        <w:tabs>
          <w:tab w:val="left" w:pos="325"/>
          <w:tab w:val="left" w:pos="700"/>
          <w:tab w:val="left" w:pos="1090"/>
        </w:tabs>
      </w:pPr>
    </w:p>
    <w:p w:rsidR="00042617" w:rsidRPr="00D15774" w:rsidRDefault="00042617">
      <w:pPr>
        <w:widowControl w:val="0"/>
        <w:tabs>
          <w:tab w:val="left" w:pos="325"/>
          <w:tab w:val="left" w:pos="700"/>
          <w:tab w:val="left" w:pos="1090"/>
        </w:tabs>
      </w:pPr>
      <w:r w:rsidRPr="00D15774">
        <w:t xml:space="preserve">Under the rules, a source owner or operator </w:t>
      </w:r>
      <w:r w:rsidR="000011B6" w:rsidRPr="00D15774">
        <w:t>must</w:t>
      </w:r>
      <w:r w:rsidRPr="00D15774">
        <w:t xml:space="preserve"> apply for </w:t>
      </w:r>
      <w:r w:rsidR="00F343E2" w:rsidRPr="00D15774">
        <w:t xml:space="preserve">a permit before building a new </w:t>
      </w:r>
      <w:r w:rsidRPr="00D15774">
        <w:t>facility or expanding an existing one if the facility increases emissions above any of the thresholds included in these rules.  The permitting authority, either EPA or a tribe, will review the application and grant or deny the air permit.</w:t>
      </w:r>
    </w:p>
    <w:p w:rsidR="00042617" w:rsidRPr="00D15774" w:rsidRDefault="00042617">
      <w:pPr>
        <w:widowControl w:val="0"/>
        <w:tabs>
          <w:tab w:val="left" w:pos="325"/>
          <w:tab w:val="left" w:pos="700"/>
          <w:tab w:val="left" w:pos="1090"/>
        </w:tabs>
      </w:pPr>
    </w:p>
    <w:p w:rsidR="00042617" w:rsidRPr="00D15774" w:rsidRDefault="00042617">
      <w:pPr>
        <w:widowControl w:val="0"/>
        <w:tabs>
          <w:tab w:val="left" w:pos="325"/>
          <w:tab w:val="left" w:pos="700"/>
          <w:tab w:val="left" w:pos="1090"/>
        </w:tabs>
      </w:pPr>
      <w:r w:rsidRPr="00D15774">
        <w:t xml:space="preserve">Tribes can accept delegation of the </w:t>
      </w:r>
      <w:r w:rsidR="00956808" w:rsidRPr="00D15774">
        <w:t>federal</w:t>
      </w:r>
      <w:r w:rsidRPr="00D15774">
        <w:t xml:space="preserve"> program</w:t>
      </w:r>
      <w:r w:rsidR="00380DFC" w:rsidRPr="00D15774">
        <w:t xml:space="preserve"> to the EPA</w:t>
      </w:r>
      <w:r w:rsidRPr="00D15774">
        <w:t xml:space="preserve"> or they can develop and seek approval of a Tribal Implementation Plan (TI</w:t>
      </w:r>
      <w:r w:rsidR="00F343E2" w:rsidRPr="00D15774">
        <w:t>P) to administer these rules or</w:t>
      </w:r>
      <w:r w:rsidRPr="00D15774">
        <w:t xml:space="preserve"> portions </w:t>
      </w:r>
      <w:r w:rsidR="00380DFC" w:rsidRPr="00D15774">
        <w:t xml:space="preserve">therein </w:t>
      </w:r>
      <w:r w:rsidRPr="00D15774">
        <w:t>them</w:t>
      </w:r>
      <w:r w:rsidR="00380DFC" w:rsidRPr="00D15774">
        <w:t>selves</w:t>
      </w:r>
      <w:r w:rsidR="00830703" w:rsidRPr="00D15774">
        <w:t>.  The</w:t>
      </w:r>
      <w:r w:rsidRPr="00D15774">
        <w:t xml:space="preserve"> </w:t>
      </w:r>
      <w:r w:rsidR="00830703" w:rsidRPr="00D15774">
        <w:t>TIP</w:t>
      </w:r>
      <w:r w:rsidR="00380DFC" w:rsidRPr="00D15774">
        <w:t xml:space="preserve"> option </w:t>
      </w:r>
      <w:r w:rsidRPr="00D15774">
        <w:t>would include some enforcement authori</w:t>
      </w:r>
      <w:r w:rsidR="00F343E2" w:rsidRPr="00D15774">
        <w:t>ty.  EPA maintain</w:t>
      </w:r>
      <w:r w:rsidR="00830703" w:rsidRPr="00D15774">
        <w:t>s</w:t>
      </w:r>
      <w:r w:rsidR="00F343E2" w:rsidRPr="00D15774">
        <w:t xml:space="preserve"> the sole</w:t>
      </w:r>
      <w:r w:rsidRPr="00D15774">
        <w:t xml:space="preserve"> authority to enforce these rules under </w:t>
      </w:r>
      <w:r w:rsidR="00956808" w:rsidRPr="00D15774">
        <w:t>federal</w:t>
      </w:r>
      <w:r w:rsidRPr="00D15774">
        <w:t xml:space="preserve"> law.</w:t>
      </w:r>
    </w:p>
    <w:p w:rsidR="00042617" w:rsidRPr="00D15774" w:rsidRDefault="00042617">
      <w:pPr>
        <w:widowControl w:val="0"/>
        <w:tabs>
          <w:tab w:val="left" w:pos="325"/>
          <w:tab w:val="left" w:pos="700"/>
          <w:tab w:val="left" w:pos="1090"/>
        </w:tabs>
      </w:pPr>
    </w:p>
    <w:p w:rsidR="00380DFC" w:rsidRPr="00D15774" w:rsidRDefault="00042617">
      <w:pPr>
        <w:widowControl w:val="0"/>
        <w:tabs>
          <w:tab w:val="left" w:pos="325"/>
          <w:tab w:val="left" w:pos="700"/>
          <w:tab w:val="left" w:pos="1090"/>
        </w:tabs>
      </w:pPr>
      <w:r w:rsidRPr="00D15774">
        <w:t>The rules provide a 36-month phase-in for small sources.  Large sources will need permits upon construction (the same is true everywhere else).  Sources interested in synthetic minor permits will be able to get them right away.</w:t>
      </w:r>
    </w:p>
    <w:p w:rsidR="00380DFC" w:rsidRPr="00D15774" w:rsidRDefault="00380DFC"/>
    <w:p w:rsidR="00042617" w:rsidRPr="00D15774" w:rsidRDefault="001C4F42" w:rsidP="000B0BB8">
      <w:pPr>
        <w:pStyle w:val="Heading3"/>
        <w:rPr>
          <w:rFonts w:ascii="Times New Roman" w:hAnsi="Times New Roman" w:cs="Times New Roman"/>
          <w:color w:val="auto"/>
        </w:rPr>
      </w:pPr>
      <w:r w:rsidRPr="00D15774">
        <w:rPr>
          <w:rFonts w:ascii="Times New Roman" w:hAnsi="Times New Roman" w:cs="Times New Roman"/>
        </w:rPr>
        <w:tab/>
      </w:r>
      <w:bookmarkStart w:id="13" w:name="_Toc369086982"/>
      <w:r w:rsidR="00042617" w:rsidRPr="00D15774">
        <w:rPr>
          <w:rFonts w:ascii="Times New Roman" w:hAnsi="Times New Roman" w:cs="Times New Roman"/>
          <w:color w:val="auto"/>
        </w:rPr>
        <w:t>a.  Minor Source NSR Rule in Indian Country</w:t>
      </w:r>
      <w:bookmarkEnd w:id="13"/>
      <w:r w:rsidR="00E21C92" w:rsidRPr="00D15774">
        <w:rPr>
          <w:rFonts w:ascii="Times New Roman" w:hAnsi="Times New Roman" w:cs="Times New Roman"/>
          <w:color w:val="auto"/>
        </w:rPr>
        <w:fldChar w:fldCharType="begin"/>
      </w:r>
      <w:r w:rsidR="00042617" w:rsidRPr="00D15774">
        <w:rPr>
          <w:rFonts w:ascii="Times New Roman" w:hAnsi="Times New Roman" w:cs="Times New Roman"/>
          <w:color w:val="auto"/>
        </w:rPr>
        <w:instrText xml:space="preserve"> TC \l2 "</w:instrText>
      </w:r>
      <w:bookmarkStart w:id="14" w:name="_Toc363192310"/>
      <w:r w:rsidR="00042617" w:rsidRPr="00D15774">
        <w:rPr>
          <w:rFonts w:ascii="Times New Roman" w:hAnsi="Times New Roman" w:cs="Times New Roman"/>
          <w:color w:val="auto"/>
        </w:rPr>
        <w:instrText>a.  Minor Source NSR Rule in Indian Country</w:instrText>
      </w:r>
      <w:bookmarkEnd w:id="14"/>
      <w:r w:rsidR="00E21C92" w:rsidRPr="00D15774">
        <w:rPr>
          <w:rFonts w:ascii="Times New Roman" w:hAnsi="Times New Roman" w:cs="Times New Roman"/>
          <w:color w:val="auto"/>
        </w:rPr>
        <w:fldChar w:fldCharType="end"/>
      </w:r>
    </w:p>
    <w:p w:rsidR="00042617" w:rsidRPr="00D15774" w:rsidRDefault="00042617">
      <w:pPr>
        <w:widowControl w:val="0"/>
        <w:tabs>
          <w:tab w:val="left" w:pos="325"/>
          <w:tab w:val="left" w:pos="700"/>
          <w:tab w:val="left" w:pos="1090"/>
        </w:tabs>
      </w:pPr>
      <w:r w:rsidRPr="00D15774">
        <w:t xml:space="preserve"> </w:t>
      </w:r>
    </w:p>
    <w:p w:rsidR="00042617" w:rsidRPr="00D15774" w:rsidRDefault="00042617">
      <w:pPr>
        <w:widowControl w:val="0"/>
        <w:tabs>
          <w:tab w:val="left" w:pos="325"/>
          <w:tab w:val="left" w:pos="700"/>
          <w:tab w:val="left" w:pos="1090"/>
        </w:tabs>
      </w:pPr>
      <w:r w:rsidRPr="00D15774">
        <w:t xml:space="preserve">The minor NSR rule applies to all of Indian country.  New or modified industrial facilities with a potential to emit equal to or more than the minor NSR thresholds </w:t>
      </w:r>
      <w:r w:rsidR="0059434A" w:rsidRPr="00D15774">
        <w:t>(See Table I below)</w:t>
      </w:r>
      <w:r w:rsidR="00D2559F" w:rsidRPr="00D15774">
        <w:t>,</w:t>
      </w:r>
      <w:r w:rsidR="0059434A" w:rsidRPr="00D15774">
        <w:t xml:space="preserve"> </w:t>
      </w:r>
      <w:r w:rsidRPr="00D15774">
        <w:t>but less than t</w:t>
      </w:r>
      <w:r w:rsidR="00F343E2" w:rsidRPr="00D15774">
        <w:t xml:space="preserve">he </w:t>
      </w:r>
      <w:r w:rsidR="00F343E2" w:rsidRPr="00D15774">
        <w:rPr>
          <w:i/>
        </w:rPr>
        <w:t xml:space="preserve">major NSR </w:t>
      </w:r>
      <w:r w:rsidRPr="00D15774">
        <w:rPr>
          <w:i/>
        </w:rPr>
        <w:t>thresholds, generally 100 to 250 tons per year</w:t>
      </w:r>
      <w:r w:rsidRPr="00D15774">
        <w:t xml:space="preserve"> (tpy), are “minor sources” of emissions and subject to the rule requirements.</w:t>
      </w:r>
    </w:p>
    <w:p w:rsidR="00042617" w:rsidRPr="00D15774" w:rsidRDefault="00042617">
      <w:pPr>
        <w:widowControl w:val="0"/>
        <w:tabs>
          <w:tab w:val="left" w:pos="325"/>
          <w:tab w:val="left" w:pos="700"/>
          <w:tab w:val="left" w:pos="1090"/>
        </w:tabs>
      </w:pPr>
    </w:p>
    <w:p w:rsidR="00042617" w:rsidRPr="00D15774" w:rsidRDefault="00042617">
      <w:pPr>
        <w:widowControl w:val="0"/>
        <w:tabs>
          <w:tab w:val="left" w:pos="325"/>
          <w:tab w:val="left" w:pos="700"/>
          <w:tab w:val="left" w:pos="1090"/>
        </w:tabs>
      </w:pPr>
      <w:r w:rsidRPr="00D15774">
        <w:t xml:space="preserve">The minor NSR program provides three options for obtaining permits. These options are:  </w:t>
      </w:r>
    </w:p>
    <w:p w:rsidR="00042617" w:rsidRPr="00D15774" w:rsidRDefault="00042617">
      <w:pPr>
        <w:widowControl w:val="0"/>
        <w:tabs>
          <w:tab w:val="left" w:pos="325"/>
          <w:tab w:val="left" w:pos="700"/>
          <w:tab w:val="left" w:pos="1090"/>
        </w:tabs>
        <w:ind w:left="700" w:hanging="375"/>
      </w:pPr>
      <w:r w:rsidRPr="00D15774">
        <w:t>○</w:t>
      </w:r>
      <w:r w:rsidRPr="00D15774">
        <w:tab/>
        <w:t xml:space="preserve">Site-specific permits – A site-specific permit includes case-by-case determinations of the source emissions limits as well as any control technology requirements; </w:t>
      </w:r>
    </w:p>
    <w:p w:rsidR="00042617" w:rsidRPr="00D15774" w:rsidRDefault="00042617">
      <w:pPr>
        <w:widowControl w:val="0"/>
        <w:tabs>
          <w:tab w:val="left" w:pos="325"/>
          <w:tab w:val="left" w:pos="700"/>
          <w:tab w:val="left" w:pos="1090"/>
        </w:tabs>
        <w:ind w:left="700" w:hanging="375"/>
      </w:pPr>
      <w:r w:rsidRPr="00D15774">
        <w:t>○</w:t>
      </w:r>
      <w:r w:rsidRPr="00D15774">
        <w:tab/>
        <w:t>General permits – A "general permit" is a permit that has been developed for a number of similar equipment types or facilities to simplify the permit issuance process for facilities</w:t>
      </w:r>
    </w:p>
    <w:p w:rsidR="00042617" w:rsidRPr="00D15774" w:rsidRDefault="00042617">
      <w:pPr>
        <w:widowControl w:val="0"/>
        <w:tabs>
          <w:tab w:val="left" w:pos="325"/>
          <w:tab w:val="left" w:pos="700"/>
          <w:tab w:val="left" w:pos="1090"/>
        </w:tabs>
        <w:ind w:left="700" w:hanging="375"/>
      </w:pPr>
      <w:r w:rsidRPr="00D15774">
        <w:t>○</w:t>
      </w:r>
      <w:r w:rsidRPr="00D15774">
        <w:tab/>
        <w:t>Synthetic minor permits – A synthetic minor permit applies to a source that has the potential to emit pollutants in amounts that are at or above the thresholds for major sources, but has voluntarily accepted emissions limitations so that its potential to emit is</w:t>
      </w:r>
      <w:r w:rsidR="00380DFC" w:rsidRPr="00D15774">
        <w:t xml:space="preserve"> held to</w:t>
      </w:r>
      <w:r w:rsidRPr="00D15774">
        <w:t xml:space="preserve"> less than these thresholds.  Under this rule, synthetic minor permits can be issued </w:t>
      </w:r>
      <w:r w:rsidRPr="00D15774">
        <w:lastRenderedPageBreak/>
        <w:t>for both regulated NSR pollutants and toxic air pollutants.</w:t>
      </w:r>
    </w:p>
    <w:p w:rsidR="00042617" w:rsidRPr="00D15774" w:rsidRDefault="00042617">
      <w:pPr>
        <w:widowControl w:val="0"/>
        <w:tabs>
          <w:tab w:val="left" w:pos="325"/>
          <w:tab w:val="left" w:pos="700"/>
          <w:tab w:val="left" w:pos="1090"/>
        </w:tabs>
      </w:pPr>
    </w:p>
    <w:p w:rsidR="00042617" w:rsidRPr="00D15774" w:rsidRDefault="00042617">
      <w:pPr>
        <w:widowControl w:val="0"/>
        <w:tabs>
          <w:tab w:val="left" w:pos="325"/>
          <w:tab w:val="left" w:pos="700"/>
          <w:tab w:val="left" w:pos="1090"/>
        </w:tabs>
      </w:pPr>
      <w:r w:rsidRPr="00D15774">
        <w:t xml:space="preserve">EPA </w:t>
      </w:r>
      <w:r w:rsidR="00755A66" w:rsidRPr="00D15774">
        <w:t>is</w:t>
      </w:r>
      <w:r w:rsidRPr="00D15774">
        <w:t xml:space="preserve"> work</w:t>
      </w:r>
      <w:r w:rsidR="00755A66" w:rsidRPr="00D15774">
        <w:t>ing</w:t>
      </w:r>
      <w:r w:rsidRPr="00D15774">
        <w:t xml:space="preserve"> on developing general permits, as a streamlined permitting option, for a number of source types in Indian country (e.g. dry cleaners, rock crushing facilities) and continue</w:t>
      </w:r>
      <w:r w:rsidR="00D034A5" w:rsidRPr="00D15774">
        <w:t>s</w:t>
      </w:r>
      <w:r w:rsidRPr="00D15774">
        <w:t xml:space="preserve"> to explore other options for improving and streamlining the permit process for </w:t>
      </w:r>
      <w:r w:rsidR="00381C28" w:rsidRPr="00D15774">
        <w:t xml:space="preserve">sources in Indian country such </w:t>
      </w:r>
      <w:r w:rsidRPr="00D15774">
        <w:t xml:space="preserve">as permits-by-rule. </w:t>
      </w:r>
    </w:p>
    <w:p w:rsidR="00042617" w:rsidRPr="00D15774" w:rsidRDefault="00042617">
      <w:pPr>
        <w:widowControl w:val="0"/>
        <w:tabs>
          <w:tab w:val="left" w:pos="325"/>
          <w:tab w:val="left" w:pos="700"/>
          <w:tab w:val="left" w:pos="1090"/>
        </w:tabs>
      </w:pPr>
    </w:p>
    <w:p w:rsidR="00042617" w:rsidRPr="00D15774" w:rsidRDefault="00042617">
      <w:pPr>
        <w:widowControl w:val="0"/>
        <w:tabs>
          <w:tab w:val="left" w:pos="325"/>
          <w:tab w:val="left" w:pos="700"/>
          <w:tab w:val="left" w:pos="1090"/>
        </w:tabs>
      </w:pPr>
      <w:r w:rsidRPr="00D15774">
        <w:t xml:space="preserve">The </w:t>
      </w:r>
      <w:r w:rsidR="00380DFC" w:rsidRPr="00D15774">
        <w:t>minor source r</w:t>
      </w:r>
      <w:r w:rsidRPr="00D15774">
        <w:t>ule requirements include:</w:t>
      </w:r>
    </w:p>
    <w:p w:rsidR="00042617" w:rsidRPr="00D15774" w:rsidRDefault="00042617">
      <w:pPr>
        <w:widowControl w:val="0"/>
        <w:tabs>
          <w:tab w:val="left" w:pos="325"/>
          <w:tab w:val="left" w:pos="700"/>
          <w:tab w:val="left" w:pos="1090"/>
        </w:tabs>
      </w:pPr>
    </w:p>
    <w:p w:rsidR="00042617" w:rsidRPr="00D15774" w:rsidRDefault="00042617">
      <w:pPr>
        <w:widowControl w:val="0"/>
        <w:tabs>
          <w:tab w:val="left" w:pos="325"/>
          <w:tab w:val="left" w:pos="700"/>
          <w:tab w:val="left" w:pos="1090"/>
        </w:tabs>
        <w:ind w:left="700" w:hanging="375"/>
      </w:pPr>
      <w:r w:rsidRPr="00D15774">
        <w:t>○</w:t>
      </w:r>
      <w:r w:rsidRPr="00D15774">
        <w:tab/>
        <w:t>Case-by-case review of control technology for source-spe</w:t>
      </w:r>
      <w:r w:rsidR="00F343E2" w:rsidRPr="00D15774">
        <w:t xml:space="preserve">cific permits by the reviewing </w:t>
      </w:r>
      <w:r w:rsidRPr="00D15774">
        <w:t xml:space="preserve">authority, </w:t>
      </w:r>
    </w:p>
    <w:p w:rsidR="00042617" w:rsidRPr="00D15774" w:rsidRDefault="00042617">
      <w:pPr>
        <w:widowControl w:val="0"/>
        <w:tabs>
          <w:tab w:val="left" w:pos="325"/>
          <w:tab w:val="left" w:pos="700"/>
          <w:tab w:val="left" w:pos="1090"/>
        </w:tabs>
        <w:ind w:left="700" w:hanging="375"/>
      </w:pPr>
      <w:r w:rsidRPr="00D15774">
        <w:t>○</w:t>
      </w:r>
      <w:r w:rsidRPr="00D15774">
        <w:tab/>
        <w:t xml:space="preserve">Air quality impact analysis upon request by the reviewing authority, </w:t>
      </w:r>
    </w:p>
    <w:p w:rsidR="00042617" w:rsidRPr="00D15774" w:rsidRDefault="00042617">
      <w:pPr>
        <w:widowControl w:val="0"/>
        <w:tabs>
          <w:tab w:val="left" w:pos="325"/>
          <w:tab w:val="left" w:pos="700"/>
          <w:tab w:val="left" w:pos="1090"/>
        </w:tabs>
        <w:ind w:left="700" w:hanging="375"/>
      </w:pPr>
      <w:r w:rsidRPr="00D15774">
        <w:t>○</w:t>
      </w:r>
      <w:r w:rsidRPr="00D15774">
        <w:tab/>
        <w:t xml:space="preserve">Monitoring, recordkeeping and reporting </w:t>
      </w:r>
      <w:r w:rsidR="00380DFC" w:rsidRPr="00D15774">
        <w:t>as required of</w:t>
      </w:r>
      <w:r w:rsidRPr="00D15774">
        <w:t xml:space="preserve"> the source owner or operator, </w:t>
      </w:r>
    </w:p>
    <w:p w:rsidR="00042617" w:rsidRPr="00D15774" w:rsidRDefault="00042617">
      <w:pPr>
        <w:widowControl w:val="0"/>
        <w:tabs>
          <w:tab w:val="left" w:pos="325"/>
          <w:tab w:val="left" w:pos="700"/>
          <w:tab w:val="left" w:pos="1090"/>
        </w:tabs>
        <w:ind w:left="700" w:hanging="375"/>
      </w:pPr>
      <w:r w:rsidRPr="00D15774">
        <w:t>○</w:t>
      </w:r>
      <w:r w:rsidRPr="00D15774">
        <w:tab/>
        <w:t>Public participation through public notices and comment requ</w:t>
      </w:r>
      <w:r w:rsidR="00F343E2" w:rsidRPr="00D15774">
        <w:t>irements and administrative and</w:t>
      </w:r>
      <w:r w:rsidRPr="00D15774">
        <w:t xml:space="preserve"> judicial review upon a permit appeal and </w:t>
      </w:r>
    </w:p>
    <w:p w:rsidR="00042617" w:rsidRPr="00D15774" w:rsidRDefault="00042617">
      <w:pPr>
        <w:widowControl w:val="0"/>
        <w:tabs>
          <w:tab w:val="left" w:pos="325"/>
          <w:tab w:val="left" w:pos="700"/>
          <w:tab w:val="left" w:pos="1090"/>
        </w:tabs>
        <w:ind w:left="700" w:hanging="375"/>
      </w:pPr>
      <w:r w:rsidRPr="00D15774">
        <w:t>○</w:t>
      </w:r>
      <w:r w:rsidRPr="00D15774">
        <w:tab/>
        <w:t xml:space="preserve">Source registration with the reviewing authority </w:t>
      </w:r>
    </w:p>
    <w:p w:rsidR="00042617" w:rsidRPr="00D15774" w:rsidRDefault="00042617">
      <w:pPr>
        <w:widowControl w:val="0"/>
        <w:tabs>
          <w:tab w:val="left" w:pos="325"/>
          <w:tab w:val="left" w:pos="700"/>
          <w:tab w:val="left" w:pos="1090"/>
        </w:tabs>
      </w:pPr>
    </w:p>
    <w:p w:rsidR="00042617" w:rsidRPr="00D15774" w:rsidRDefault="00042617">
      <w:pPr>
        <w:widowControl w:val="0"/>
        <w:tabs>
          <w:tab w:val="left" w:pos="325"/>
          <w:tab w:val="left" w:pos="700"/>
          <w:tab w:val="left" w:pos="1090"/>
        </w:tabs>
      </w:pPr>
      <w:r w:rsidRPr="00D15774">
        <w:t>Under the rule, sources have different responsibilities depending on their status:</w:t>
      </w:r>
    </w:p>
    <w:p w:rsidR="00042617" w:rsidRPr="00D15774" w:rsidRDefault="00042617">
      <w:pPr>
        <w:widowControl w:val="0"/>
        <w:tabs>
          <w:tab w:val="left" w:pos="325"/>
          <w:tab w:val="left" w:pos="700"/>
          <w:tab w:val="left" w:pos="1090"/>
        </w:tabs>
      </w:pPr>
    </w:p>
    <w:p w:rsidR="00042617" w:rsidRPr="00D15774" w:rsidRDefault="00042617">
      <w:pPr>
        <w:widowControl w:val="0"/>
        <w:tabs>
          <w:tab w:val="left" w:pos="325"/>
          <w:tab w:val="left" w:pos="700"/>
          <w:tab w:val="left" w:pos="1090"/>
        </w:tabs>
        <w:ind w:left="700" w:hanging="375"/>
      </w:pPr>
      <w:r w:rsidRPr="00D15774">
        <w:t>○</w:t>
      </w:r>
      <w:r w:rsidRPr="00D15774">
        <w:tab/>
      </w:r>
      <w:r w:rsidR="00755A66" w:rsidRPr="00D15774">
        <w:rPr>
          <w:szCs w:val="24"/>
          <w:lang w:val="en-CA"/>
        </w:rPr>
        <w:fldChar w:fldCharType="begin"/>
      </w:r>
      <w:r w:rsidR="00755A66" w:rsidRPr="00D15774">
        <w:rPr>
          <w:szCs w:val="24"/>
          <w:lang w:val="en-CA"/>
        </w:rPr>
        <w:instrText xml:space="preserve"> SEQ CHAPTER \h \r 1</w:instrText>
      </w:r>
      <w:r w:rsidR="00755A66" w:rsidRPr="00D15774">
        <w:rPr>
          <w:szCs w:val="24"/>
          <w:lang w:val="en-CA"/>
        </w:rPr>
        <w:fldChar w:fldCharType="end"/>
      </w:r>
      <w:r w:rsidR="00755A66" w:rsidRPr="00D15774">
        <w:rPr>
          <w:b/>
          <w:bCs/>
          <w:szCs w:val="24"/>
          <w:u w:val="single"/>
        </w:rPr>
        <w:t>Existing</w:t>
      </w:r>
      <w:r w:rsidR="00755A66" w:rsidRPr="00D15774">
        <w:rPr>
          <w:szCs w:val="24"/>
        </w:rPr>
        <w:t xml:space="preserve"> “true” minor sources, also called “natural” minor sources, only need to register within the first 36 months of the program.  After the first 36 months of the program or 6 months after a general permit for a source category is published, existing sources will need a permit only if the proposed modification emissions exceed the minor source thresholds.</w:t>
      </w:r>
    </w:p>
    <w:p w:rsidR="00042617" w:rsidRPr="00D15774" w:rsidRDefault="00042617">
      <w:pPr>
        <w:widowControl w:val="0"/>
        <w:tabs>
          <w:tab w:val="left" w:pos="325"/>
          <w:tab w:val="left" w:pos="700"/>
          <w:tab w:val="left" w:pos="1090"/>
        </w:tabs>
        <w:ind w:left="700" w:hanging="375"/>
      </w:pPr>
      <w:r w:rsidRPr="00D15774">
        <w:t>○</w:t>
      </w:r>
      <w:r w:rsidRPr="00D15774">
        <w:tab/>
      </w:r>
      <w:r w:rsidR="00755A66" w:rsidRPr="00D15774">
        <w:rPr>
          <w:szCs w:val="24"/>
          <w:lang w:val="en-CA"/>
        </w:rPr>
        <w:fldChar w:fldCharType="begin"/>
      </w:r>
      <w:r w:rsidR="00755A66" w:rsidRPr="00D15774">
        <w:rPr>
          <w:szCs w:val="24"/>
          <w:lang w:val="en-CA"/>
        </w:rPr>
        <w:instrText xml:space="preserve"> SEQ CHAPTER \h \r 1</w:instrText>
      </w:r>
      <w:r w:rsidR="00755A66" w:rsidRPr="00D15774">
        <w:rPr>
          <w:szCs w:val="24"/>
          <w:lang w:val="en-CA"/>
        </w:rPr>
        <w:fldChar w:fldCharType="end"/>
      </w:r>
      <w:r w:rsidR="00755A66" w:rsidRPr="00D15774">
        <w:rPr>
          <w:b/>
          <w:bCs/>
          <w:szCs w:val="24"/>
          <w:u w:val="single"/>
        </w:rPr>
        <w:t>New</w:t>
      </w:r>
      <w:r w:rsidR="00755A66" w:rsidRPr="00D15774">
        <w:rPr>
          <w:szCs w:val="24"/>
        </w:rPr>
        <w:t xml:space="preserve"> “true” minor sources will not need a permit</w:t>
      </w:r>
      <w:r w:rsidR="00380DFC" w:rsidRPr="00D15774">
        <w:rPr>
          <w:szCs w:val="24"/>
        </w:rPr>
        <w:t>, but rather</w:t>
      </w:r>
      <w:r w:rsidR="00755A66" w:rsidRPr="00D15774">
        <w:rPr>
          <w:szCs w:val="24"/>
        </w:rPr>
        <w:t xml:space="preserve"> will only need to register within the first 36 months of the program.  After the first 36 months of the program </w:t>
      </w:r>
      <w:r w:rsidR="00DA4493" w:rsidRPr="00D15774">
        <w:rPr>
          <w:szCs w:val="24"/>
        </w:rPr>
        <w:t>(</w:t>
      </w:r>
      <w:r w:rsidR="00755A66" w:rsidRPr="00D15774">
        <w:rPr>
          <w:szCs w:val="24"/>
        </w:rPr>
        <w:t>or 6 months after a general permit for a source category is publishe</w:t>
      </w:r>
      <w:r w:rsidR="00DA4493" w:rsidRPr="00D15774">
        <w:rPr>
          <w:szCs w:val="24"/>
        </w:rPr>
        <w:t>d)</w:t>
      </w:r>
      <w:r w:rsidR="00755A66" w:rsidRPr="00D15774">
        <w:rPr>
          <w:szCs w:val="24"/>
        </w:rPr>
        <w:t>, new sources will need a permit if the source’s emissions exceed the minor source thresholds.</w:t>
      </w:r>
    </w:p>
    <w:p w:rsidR="00042617" w:rsidRPr="00D15774" w:rsidRDefault="00042617">
      <w:pPr>
        <w:widowControl w:val="0"/>
        <w:tabs>
          <w:tab w:val="left" w:pos="325"/>
          <w:tab w:val="left" w:pos="700"/>
          <w:tab w:val="left" w:pos="1090"/>
        </w:tabs>
        <w:ind w:left="700" w:hanging="375"/>
      </w:pPr>
      <w:r w:rsidRPr="00D15774">
        <w:t>○</w:t>
      </w:r>
      <w:r w:rsidRPr="00D15774">
        <w:tab/>
      </w:r>
      <w:r w:rsidRPr="00D15774">
        <w:rPr>
          <w:b/>
          <w:u w:val="single"/>
        </w:rPr>
        <w:t>Existing</w:t>
      </w:r>
      <w:r w:rsidRPr="00D15774">
        <w:t xml:space="preserve"> “synthetic” minor sources may need permits depending on the mechanism they used to obtain their status as a “synthetic” minor. </w:t>
      </w:r>
    </w:p>
    <w:p w:rsidR="00042617" w:rsidRPr="00D15774" w:rsidRDefault="00042617">
      <w:pPr>
        <w:widowControl w:val="0"/>
        <w:tabs>
          <w:tab w:val="left" w:pos="325"/>
          <w:tab w:val="left" w:pos="700"/>
          <w:tab w:val="left" w:pos="1090"/>
        </w:tabs>
        <w:ind w:left="700" w:hanging="375"/>
      </w:pPr>
      <w:r w:rsidRPr="00D15774">
        <w:t>○</w:t>
      </w:r>
      <w:r w:rsidRPr="00D15774">
        <w:tab/>
      </w:r>
      <w:r w:rsidRPr="00D15774">
        <w:rPr>
          <w:b/>
          <w:u w:val="single"/>
        </w:rPr>
        <w:t>New</w:t>
      </w:r>
      <w:r w:rsidRPr="00D15774">
        <w:t xml:space="preserve"> “synthetic” minor sources will be able to apply for permits starting on the rule’s effective dat</w:t>
      </w:r>
      <w:r w:rsidR="002942B5" w:rsidRPr="00D15774">
        <w:t>e (August 30, 2011)</w:t>
      </w:r>
      <w:r w:rsidRPr="00D15774">
        <w:t xml:space="preserve">.  </w:t>
      </w:r>
    </w:p>
    <w:p w:rsidR="00EF36EA" w:rsidRPr="00D15774" w:rsidRDefault="00042617" w:rsidP="00944DDA">
      <w:pPr>
        <w:widowControl w:val="0"/>
        <w:tabs>
          <w:tab w:val="left" w:pos="325"/>
          <w:tab w:val="left" w:pos="700"/>
          <w:tab w:val="left" w:pos="1090"/>
        </w:tabs>
        <w:ind w:left="700" w:hanging="375"/>
      </w:pPr>
      <w:r w:rsidRPr="00D15774">
        <w:t>○</w:t>
      </w:r>
      <w:r w:rsidRPr="00D15774">
        <w:tab/>
      </w:r>
      <w:r w:rsidRPr="00D15774">
        <w:rPr>
          <w:b/>
          <w:u w:val="single"/>
        </w:rPr>
        <w:t>Minor modifications at major sources</w:t>
      </w:r>
      <w:r w:rsidRPr="00D15774">
        <w:t xml:space="preserve"> will need to apply for</w:t>
      </w:r>
      <w:r w:rsidR="00F343E2" w:rsidRPr="00D15774">
        <w:t xml:space="preserve"> permits starting on the rule’s</w:t>
      </w:r>
      <w:r w:rsidRPr="00D15774">
        <w:t xml:space="preserve"> effective dat</w:t>
      </w:r>
      <w:r w:rsidR="002942B5" w:rsidRPr="00D15774">
        <w:t>e (August 30, 2011)</w:t>
      </w:r>
      <w:r w:rsidRPr="00D15774">
        <w:t>.</w:t>
      </w:r>
    </w:p>
    <w:p w:rsidR="00781C1F" w:rsidRPr="00D15774" w:rsidRDefault="00EF36EA" w:rsidP="00EF36EA">
      <w:pPr>
        <w:rPr>
          <w:szCs w:val="24"/>
        </w:rPr>
      </w:pPr>
      <w:r w:rsidRPr="00D15774">
        <w:br w:type="page"/>
      </w:r>
      <w:r w:rsidR="00781C1F" w:rsidRPr="00D15774">
        <w:rPr>
          <w:szCs w:val="24"/>
          <w:lang w:val="en-CA"/>
        </w:rPr>
        <w:fldChar w:fldCharType="begin"/>
      </w:r>
      <w:r w:rsidR="00781C1F" w:rsidRPr="00D15774">
        <w:rPr>
          <w:szCs w:val="24"/>
          <w:lang w:val="en-CA"/>
        </w:rPr>
        <w:instrText xml:space="preserve"> SEQ CHAPTER \h \r 1</w:instrText>
      </w:r>
      <w:r w:rsidR="00781C1F" w:rsidRPr="00D15774">
        <w:rPr>
          <w:szCs w:val="24"/>
          <w:lang w:val="en-CA"/>
        </w:rPr>
        <w:fldChar w:fldCharType="end"/>
      </w:r>
    </w:p>
    <w:tbl>
      <w:tblPr>
        <w:tblW w:w="10620" w:type="dxa"/>
        <w:jc w:val="center"/>
        <w:tblLayout w:type="fixed"/>
        <w:tblCellMar>
          <w:left w:w="100" w:type="dxa"/>
          <w:right w:w="100" w:type="dxa"/>
        </w:tblCellMar>
        <w:tblLook w:val="0000" w:firstRow="0" w:lastRow="0" w:firstColumn="0" w:lastColumn="0" w:noHBand="0" w:noVBand="0"/>
      </w:tblPr>
      <w:tblGrid>
        <w:gridCol w:w="2700"/>
        <w:gridCol w:w="4050"/>
        <w:gridCol w:w="3870"/>
      </w:tblGrid>
      <w:tr w:rsidR="00781C1F" w:rsidRPr="00D15774" w:rsidTr="00747654">
        <w:trPr>
          <w:cantSplit/>
          <w:trHeight w:val="468"/>
          <w:tblHeader/>
          <w:jc w:val="center"/>
        </w:trPr>
        <w:tc>
          <w:tcPr>
            <w:tcW w:w="10620" w:type="dxa"/>
            <w:gridSpan w:val="3"/>
            <w:tcBorders>
              <w:top w:val="single" w:sz="6" w:space="0" w:color="000000"/>
              <w:left w:val="single" w:sz="6" w:space="0" w:color="000000"/>
              <w:bottom w:val="nil"/>
              <w:right w:val="single" w:sz="6" w:space="0" w:color="000000"/>
            </w:tcBorders>
          </w:tcPr>
          <w:p w:rsidR="00781C1F" w:rsidRPr="00D15774" w:rsidRDefault="0059434A" w:rsidP="00E8009B">
            <w:pPr>
              <w:autoSpaceDE w:val="0"/>
              <w:autoSpaceDN w:val="0"/>
              <w:adjustRightInd w:val="0"/>
              <w:spacing w:before="100"/>
              <w:jc w:val="center"/>
              <w:rPr>
                <w:sz w:val="20"/>
              </w:rPr>
            </w:pPr>
            <w:bookmarkStart w:id="15" w:name="_Toc369086983"/>
            <w:r w:rsidRPr="00D15774">
              <w:rPr>
                <w:rStyle w:val="Heading4Char"/>
                <w:rFonts w:ascii="Times New Roman" w:hAnsi="Times New Roman" w:cs="Times New Roman"/>
                <w:i w:val="0"/>
                <w:color w:val="auto"/>
              </w:rPr>
              <w:lastRenderedPageBreak/>
              <w:t xml:space="preserve">Table 1:  </w:t>
            </w:r>
            <w:r w:rsidR="00781C1F" w:rsidRPr="00D15774">
              <w:rPr>
                <w:rStyle w:val="Heading4Char"/>
                <w:rFonts w:ascii="Times New Roman" w:hAnsi="Times New Roman" w:cs="Times New Roman"/>
                <w:i w:val="0"/>
                <w:color w:val="auto"/>
              </w:rPr>
              <w:t>MINOR NSR THRESHOLDS</w:t>
            </w:r>
            <w:bookmarkEnd w:id="15"/>
            <w:r w:rsidR="00781C1F" w:rsidRPr="00D15774">
              <w:rPr>
                <w:rStyle w:val="Heading4Char"/>
                <w:rFonts w:ascii="Times New Roman" w:hAnsi="Times New Roman" w:cs="Times New Roman"/>
                <w:color w:val="auto"/>
              </w:rPr>
              <w:t xml:space="preserve"> </w:t>
            </w:r>
            <w:r w:rsidR="00E8009B" w:rsidRPr="00D15774">
              <w:rPr>
                <w:rStyle w:val="Heading4Char"/>
                <w:rFonts w:ascii="Times New Roman" w:hAnsi="Times New Roman" w:cs="Times New Roman"/>
                <w:color w:val="auto"/>
              </w:rPr>
              <w:t xml:space="preserve"> </w:t>
            </w:r>
            <w:r w:rsidR="00781C1F" w:rsidRPr="00D15774">
              <w:rPr>
                <w:sz w:val="20"/>
                <w:vertAlign w:val="superscript"/>
              </w:rPr>
              <w:t>a</w:t>
            </w:r>
          </w:p>
        </w:tc>
      </w:tr>
      <w:tr w:rsidR="00781C1F" w:rsidRPr="00D15774" w:rsidTr="00747654">
        <w:trPr>
          <w:cantSplit/>
          <w:trHeight w:val="657"/>
          <w:tblHeader/>
          <w:jc w:val="center"/>
        </w:trPr>
        <w:tc>
          <w:tcPr>
            <w:tcW w:w="2700" w:type="dxa"/>
            <w:tcBorders>
              <w:top w:val="single" w:sz="6" w:space="0" w:color="000000"/>
              <w:left w:val="single" w:sz="6" w:space="0" w:color="000000"/>
              <w:bottom w:val="thinThickThinSmallGap" w:sz="54" w:space="0" w:color="000000"/>
              <w:right w:val="nil"/>
            </w:tcBorders>
          </w:tcPr>
          <w:p w:rsidR="00781C1F" w:rsidRPr="00D15774" w:rsidRDefault="00781C1F" w:rsidP="00781C1F">
            <w:pPr>
              <w:autoSpaceDE w:val="0"/>
              <w:autoSpaceDN w:val="0"/>
              <w:adjustRightInd w:val="0"/>
              <w:spacing w:before="100" w:after="46"/>
              <w:jc w:val="center"/>
              <w:rPr>
                <w:sz w:val="20"/>
              </w:rPr>
            </w:pPr>
            <w:r w:rsidRPr="00D15774">
              <w:rPr>
                <w:sz w:val="20"/>
              </w:rPr>
              <w:t>Regulated NSR pollutant </w:t>
            </w:r>
          </w:p>
        </w:tc>
        <w:tc>
          <w:tcPr>
            <w:tcW w:w="4050" w:type="dxa"/>
            <w:tcBorders>
              <w:top w:val="single" w:sz="6" w:space="0" w:color="000000"/>
              <w:left w:val="single" w:sz="6" w:space="0" w:color="000000"/>
              <w:bottom w:val="thinThickThinSmallGap" w:sz="54" w:space="0" w:color="000000"/>
              <w:right w:val="nil"/>
            </w:tcBorders>
          </w:tcPr>
          <w:p w:rsidR="00781C1F" w:rsidRPr="00D15774" w:rsidRDefault="00781C1F" w:rsidP="00781C1F">
            <w:pPr>
              <w:autoSpaceDE w:val="0"/>
              <w:autoSpaceDN w:val="0"/>
              <w:adjustRightInd w:val="0"/>
              <w:spacing w:before="100"/>
              <w:jc w:val="center"/>
              <w:rPr>
                <w:sz w:val="20"/>
              </w:rPr>
            </w:pPr>
            <w:r w:rsidRPr="00D15774">
              <w:rPr>
                <w:sz w:val="20"/>
              </w:rPr>
              <w:t>Minor NSR thresholds for nonattainment areas</w:t>
            </w:r>
          </w:p>
          <w:p w:rsidR="00781C1F" w:rsidRPr="00D15774" w:rsidRDefault="00781C1F" w:rsidP="00781C1F">
            <w:pPr>
              <w:autoSpaceDE w:val="0"/>
              <w:autoSpaceDN w:val="0"/>
              <w:adjustRightInd w:val="0"/>
              <w:spacing w:after="46"/>
              <w:jc w:val="center"/>
              <w:rPr>
                <w:sz w:val="20"/>
              </w:rPr>
            </w:pPr>
            <w:r w:rsidRPr="00D15774">
              <w:rPr>
                <w:sz w:val="20"/>
              </w:rPr>
              <w:t>(tpy)</w:t>
            </w:r>
          </w:p>
        </w:tc>
        <w:tc>
          <w:tcPr>
            <w:tcW w:w="3870" w:type="dxa"/>
            <w:tcBorders>
              <w:top w:val="single" w:sz="6" w:space="0" w:color="000000"/>
              <w:left w:val="single" w:sz="6" w:space="0" w:color="000000"/>
              <w:bottom w:val="thinThickThinSmallGap" w:sz="54" w:space="0" w:color="000000"/>
              <w:right w:val="single" w:sz="6" w:space="0" w:color="000000"/>
            </w:tcBorders>
          </w:tcPr>
          <w:p w:rsidR="00781C1F" w:rsidRPr="00D15774" w:rsidRDefault="00781C1F" w:rsidP="00781C1F">
            <w:pPr>
              <w:autoSpaceDE w:val="0"/>
              <w:autoSpaceDN w:val="0"/>
              <w:adjustRightInd w:val="0"/>
              <w:spacing w:before="100"/>
              <w:jc w:val="center"/>
              <w:rPr>
                <w:sz w:val="20"/>
              </w:rPr>
            </w:pPr>
            <w:r w:rsidRPr="00D15774">
              <w:rPr>
                <w:sz w:val="20"/>
              </w:rPr>
              <w:t>Minor NSR thresholds for attainment areas</w:t>
            </w:r>
          </w:p>
          <w:p w:rsidR="00781C1F" w:rsidRPr="00D15774" w:rsidRDefault="00781C1F" w:rsidP="00E8009B">
            <w:pPr>
              <w:autoSpaceDE w:val="0"/>
              <w:autoSpaceDN w:val="0"/>
              <w:adjustRightInd w:val="0"/>
              <w:jc w:val="center"/>
              <w:rPr>
                <w:sz w:val="20"/>
              </w:rPr>
            </w:pPr>
            <w:r w:rsidRPr="00D15774">
              <w:rPr>
                <w:sz w:val="20"/>
              </w:rPr>
              <w:t>(tpy)</w:t>
            </w:r>
          </w:p>
        </w:tc>
      </w:tr>
      <w:tr w:rsidR="00781C1F" w:rsidRPr="00D15774" w:rsidTr="00747654">
        <w:trPr>
          <w:cantSplit/>
          <w:jc w:val="center"/>
        </w:trPr>
        <w:tc>
          <w:tcPr>
            <w:tcW w:w="2700" w:type="dxa"/>
            <w:tcBorders>
              <w:top w:val="single" w:sz="6" w:space="0" w:color="000000"/>
              <w:left w:val="single" w:sz="6" w:space="0" w:color="000000"/>
              <w:bottom w:val="nil"/>
              <w:right w:val="nil"/>
            </w:tcBorders>
          </w:tcPr>
          <w:p w:rsidR="00781C1F" w:rsidRPr="00D15774" w:rsidRDefault="00781C1F" w:rsidP="00781C1F">
            <w:pPr>
              <w:autoSpaceDE w:val="0"/>
              <w:autoSpaceDN w:val="0"/>
              <w:adjustRightInd w:val="0"/>
              <w:spacing w:before="100" w:after="46"/>
              <w:rPr>
                <w:sz w:val="20"/>
              </w:rPr>
            </w:pPr>
            <w:r w:rsidRPr="00D15774">
              <w:rPr>
                <w:sz w:val="20"/>
              </w:rPr>
              <w:t>Carbon Monoxide (CO) </w:t>
            </w:r>
          </w:p>
        </w:tc>
        <w:tc>
          <w:tcPr>
            <w:tcW w:w="4050" w:type="dxa"/>
            <w:tcBorders>
              <w:top w:val="single" w:sz="6" w:space="0" w:color="000000"/>
              <w:left w:val="single" w:sz="6" w:space="0" w:color="000000"/>
              <w:bottom w:val="nil"/>
              <w:right w:val="nil"/>
            </w:tcBorders>
          </w:tcPr>
          <w:p w:rsidR="00781C1F" w:rsidRPr="00D15774" w:rsidRDefault="00781C1F" w:rsidP="00781C1F">
            <w:pPr>
              <w:autoSpaceDE w:val="0"/>
              <w:autoSpaceDN w:val="0"/>
              <w:adjustRightInd w:val="0"/>
              <w:spacing w:before="100" w:after="46"/>
              <w:jc w:val="center"/>
              <w:rPr>
                <w:sz w:val="20"/>
              </w:rPr>
            </w:pPr>
            <w:r w:rsidRPr="00D15774">
              <w:rPr>
                <w:sz w:val="20"/>
              </w:rPr>
              <w:t>5</w:t>
            </w:r>
          </w:p>
        </w:tc>
        <w:tc>
          <w:tcPr>
            <w:tcW w:w="3870" w:type="dxa"/>
            <w:tcBorders>
              <w:top w:val="single" w:sz="6" w:space="0" w:color="000000"/>
              <w:left w:val="single" w:sz="6" w:space="0" w:color="000000"/>
              <w:bottom w:val="nil"/>
              <w:right w:val="single" w:sz="6" w:space="0" w:color="000000"/>
            </w:tcBorders>
          </w:tcPr>
          <w:p w:rsidR="00781C1F" w:rsidRPr="00D15774" w:rsidRDefault="00781C1F" w:rsidP="00781C1F">
            <w:pPr>
              <w:autoSpaceDE w:val="0"/>
              <w:autoSpaceDN w:val="0"/>
              <w:adjustRightInd w:val="0"/>
              <w:spacing w:before="100" w:after="46"/>
              <w:jc w:val="center"/>
              <w:rPr>
                <w:sz w:val="20"/>
              </w:rPr>
            </w:pPr>
            <w:r w:rsidRPr="00D15774">
              <w:rPr>
                <w:sz w:val="20"/>
              </w:rPr>
              <w:t>10</w:t>
            </w:r>
          </w:p>
        </w:tc>
      </w:tr>
      <w:tr w:rsidR="00781C1F" w:rsidRPr="00D15774" w:rsidTr="00747654">
        <w:trPr>
          <w:cantSplit/>
          <w:jc w:val="center"/>
        </w:trPr>
        <w:tc>
          <w:tcPr>
            <w:tcW w:w="2700" w:type="dxa"/>
            <w:tcBorders>
              <w:top w:val="single" w:sz="6" w:space="0" w:color="000000"/>
              <w:left w:val="single" w:sz="6" w:space="0" w:color="000000"/>
              <w:bottom w:val="nil"/>
              <w:right w:val="nil"/>
            </w:tcBorders>
          </w:tcPr>
          <w:p w:rsidR="00781C1F" w:rsidRPr="00D15774" w:rsidRDefault="00781C1F" w:rsidP="00781C1F">
            <w:pPr>
              <w:autoSpaceDE w:val="0"/>
              <w:autoSpaceDN w:val="0"/>
              <w:adjustRightInd w:val="0"/>
              <w:spacing w:before="100" w:after="46"/>
              <w:rPr>
                <w:sz w:val="20"/>
              </w:rPr>
            </w:pPr>
            <w:r w:rsidRPr="00D15774">
              <w:rPr>
                <w:sz w:val="20"/>
              </w:rPr>
              <w:t>Nitrogen oxides (NOX)</w:t>
            </w:r>
          </w:p>
        </w:tc>
        <w:tc>
          <w:tcPr>
            <w:tcW w:w="4050" w:type="dxa"/>
            <w:tcBorders>
              <w:top w:val="single" w:sz="6" w:space="0" w:color="000000"/>
              <w:left w:val="single" w:sz="6" w:space="0" w:color="000000"/>
              <w:bottom w:val="nil"/>
              <w:right w:val="nil"/>
            </w:tcBorders>
          </w:tcPr>
          <w:p w:rsidR="00781C1F" w:rsidRPr="00D15774" w:rsidRDefault="00781C1F" w:rsidP="00781C1F">
            <w:pPr>
              <w:autoSpaceDE w:val="0"/>
              <w:autoSpaceDN w:val="0"/>
              <w:adjustRightInd w:val="0"/>
              <w:spacing w:before="100" w:after="46"/>
              <w:jc w:val="center"/>
              <w:rPr>
                <w:sz w:val="20"/>
              </w:rPr>
            </w:pPr>
            <w:r w:rsidRPr="00D15774">
              <w:rPr>
                <w:sz w:val="20"/>
              </w:rPr>
              <w:t xml:space="preserve">  5 </w:t>
            </w:r>
            <w:r w:rsidRPr="00D15774">
              <w:rPr>
                <w:sz w:val="20"/>
                <w:vertAlign w:val="superscript"/>
              </w:rPr>
              <w:t>b</w:t>
            </w:r>
          </w:p>
        </w:tc>
        <w:tc>
          <w:tcPr>
            <w:tcW w:w="3870" w:type="dxa"/>
            <w:tcBorders>
              <w:top w:val="single" w:sz="6" w:space="0" w:color="000000"/>
              <w:left w:val="single" w:sz="6" w:space="0" w:color="000000"/>
              <w:bottom w:val="nil"/>
              <w:right w:val="single" w:sz="6" w:space="0" w:color="000000"/>
            </w:tcBorders>
          </w:tcPr>
          <w:p w:rsidR="00781C1F" w:rsidRPr="00D15774" w:rsidRDefault="00781C1F" w:rsidP="00781C1F">
            <w:pPr>
              <w:autoSpaceDE w:val="0"/>
              <w:autoSpaceDN w:val="0"/>
              <w:adjustRightInd w:val="0"/>
              <w:spacing w:before="100" w:after="46"/>
              <w:rPr>
                <w:sz w:val="20"/>
              </w:rPr>
            </w:pPr>
            <w:r w:rsidRPr="00D15774">
              <w:rPr>
                <w:sz w:val="20"/>
              </w:rPr>
              <w:t xml:space="preserve"> </w:t>
            </w:r>
            <w:r w:rsidRPr="00D15774">
              <w:rPr>
                <w:sz w:val="20"/>
              </w:rPr>
              <w:tab/>
              <w:t xml:space="preserve">                    10</w:t>
            </w:r>
          </w:p>
        </w:tc>
      </w:tr>
      <w:tr w:rsidR="00781C1F" w:rsidRPr="00D15774" w:rsidTr="00747654">
        <w:trPr>
          <w:cantSplit/>
          <w:jc w:val="center"/>
        </w:trPr>
        <w:tc>
          <w:tcPr>
            <w:tcW w:w="2700" w:type="dxa"/>
            <w:tcBorders>
              <w:top w:val="single" w:sz="6" w:space="0" w:color="000000"/>
              <w:left w:val="single" w:sz="6" w:space="0" w:color="000000"/>
              <w:bottom w:val="nil"/>
              <w:right w:val="nil"/>
            </w:tcBorders>
          </w:tcPr>
          <w:p w:rsidR="00781C1F" w:rsidRPr="00D15774" w:rsidRDefault="00781C1F" w:rsidP="00781C1F">
            <w:pPr>
              <w:autoSpaceDE w:val="0"/>
              <w:autoSpaceDN w:val="0"/>
              <w:adjustRightInd w:val="0"/>
              <w:spacing w:before="100" w:after="46"/>
              <w:rPr>
                <w:sz w:val="20"/>
              </w:rPr>
            </w:pPr>
            <w:r w:rsidRPr="00D15774">
              <w:rPr>
                <w:sz w:val="20"/>
              </w:rPr>
              <w:t>Sulfur dioxide (SO2)</w:t>
            </w:r>
          </w:p>
        </w:tc>
        <w:tc>
          <w:tcPr>
            <w:tcW w:w="4050" w:type="dxa"/>
            <w:tcBorders>
              <w:top w:val="single" w:sz="6" w:space="0" w:color="000000"/>
              <w:left w:val="single" w:sz="6" w:space="0" w:color="000000"/>
              <w:bottom w:val="nil"/>
              <w:right w:val="nil"/>
            </w:tcBorders>
          </w:tcPr>
          <w:p w:rsidR="00781C1F" w:rsidRPr="00D15774" w:rsidRDefault="00781C1F" w:rsidP="00781C1F">
            <w:pPr>
              <w:autoSpaceDE w:val="0"/>
              <w:autoSpaceDN w:val="0"/>
              <w:adjustRightInd w:val="0"/>
              <w:spacing w:before="100" w:after="46"/>
              <w:jc w:val="center"/>
              <w:rPr>
                <w:sz w:val="20"/>
              </w:rPr>
            </w:pPr>
            <w:r w:rsidRPr="00D15774">
              <w:rPr>
                <w:sz w:val="20"/>
              </w:rPr>
              <w:t>5</w:t>
            </w:r>
          </w:p>
        </w:tc>
        <w:tc>
          <w:tcPr>
            <w:tcW w:w="3870" w:type="dxa"/>
            <w:tcBorders>
              <w:top w:val="single" w:sz="6" w:space="0" w:color="000000"/>
              <w:left w:val="single" w:sz="6" w:space="0" w:color="000000"/>
              <w:bottom w:val="nil"/>
              <w:right w:val="single" w:sz="6" w:space="0" w:color="000000"/>
            </w:tcBorders>
          </w:tcPr>
          <w:p w:rsidR="00781C1F" w:rsidRPr="00D15774" w:rsidRDefault="00781C1F" w:rsidP="00781C1F">
            <w:pPr>
              <w:autoSpaceDE w:val="0"/>
              <w:autoSpaceDN w:val="0"/>
              <w:adjustRightInd w:val="0"/>
              <w:spacing w:before="100" w:after="46"/>
              <w:jc w:val="center"/>
              <w:rPr>
                <w:sz w:val="20"/>
              </w:rPr>
            </w:pPr>
            <w:r w:rsidRPr="00D15774">
              <w:rPr>
                <w:sz w:val="20"/>
              </w:rPr>
              <w:t>10</w:t>
            </w:r>
          </w:p>
        </w:tc>
      </w:tr>
      <w:tr w:rsidR="00781C1F" w:rsidRPr="00D15774" w:rsidTr="00747654">
        <w:trPr>
          <w:cantSplit/>
          <w:jc w:val="center"/>
        </w:trPr>
        <w:tc>
          <w:tcPr>
            <w:tcW w:w="2700" w:type="dxa"/>
            <w:tcBorders>
              <w:top w:val="single" w:sz="6" w:space="0" w:color="000000"/>
              <w:left w:val="single" w:sz="6" w:space="0" w:color="000000"/>
              <w:bottom w:val="nil"/>
              <w:right w:val="nil"/>
            </w:tcBorders>
          </w:tcPr>
          <w:p w:rsidR="00781C1F" w:rsidRPr="00D15774" w:rsidRDefault="00781C1F" w:rsidP="00781C1F">
            <w:pPr>
              <w:autoSpaceDE w:val="0"/>
              <w:autoSpaceDN w:val="0"/>
              <w:adjustRightInd w:val="0"/>
              <w:spacing w:before="100" w:after="46"/>
              <w:rPr>
                <w:sz w:val="20"/>
              </w:rPr>
            </w:pPr>
            <w:r w:rsidRPr="00D15774">
              <w:rPr>
                <w:sz w:val="20"/>
              </w:rPr>
              <w:t>Volatile Organic Compounds (VOC)</w:t>
            </w:r>
          </w:p>
        </w:tc>
        <w:tc>
          <w:tcPr>
            <w:tcW w:w="4050" w:type="dxa"/>
            <w:tcBorders>
              <w:top w:val="single" w:sz="6" w:space="0" w:color="000000"/>
              <w:left w:val="single" w:sz="6" w:space="0" w:color="000000"/>
              <w:bottom w:val="nil"/>
              <w:right w:val="nil"/>
            </w:tcBorders>
          </w:tcPr>
          <w:p w:rsidR="00781C1F" w:rsidRPr="00D15774" w:rsidRDefault="00781C1F" w:rsidP="00781C1F">
            <w:pPr>
              <w:autoSpaceDE w:val="0"/>
              <w:autoSpaceDN w:val="0"/>
              <w:adjustRightInd w:val="0"/>
              <w:spacing w:before="100" w:after="46"/>
              <w:jc w:val="center"/>
              <w:rPr>
                <w:sz w:val="20"/>
              </w:rPr>
            </w:pPr>
            <w:r w:rsidRPr="00D15774">
              <w:rPr>
                <w:sz w:val="20"/>
              </w:rPr>
              <w:t xml:space="preserve">  2 </w:t>
            </w:r>
            <w:r w:rsidRPr="00D15774">
              <w:rPr>
                <w:sz w:val="20"/>
                <w:vertAlign w:val="superscript"/>
              </w:rPr>
              <w:t>b</w:t>
            </w:r>
          </w:p>
        </w:tc>
        <w:tc>
          <w:tcPr>
            <w:tcW w:w="3870" w:type="dxa"/>
            <w:tcBorders>
              <w:top w:val="single" w:sz="6" w:space="0" w:color="000000"/>
              <w:left w:val="single" w:sz="6" w:space="0" w:color="000000"/>
              <w:bottom w:val="nil"/>
              <w:right w:val="single" w:sz="6" w:space="0" w:color="000000"/>
            </w:tcBorders>
          </w:tcPr>
          <w:p w:rsidR="00781C1F" w:rsidRPr="00D15774" w:rsidRDefault="00781C1F" w:rsidP="00781C1F">
            <w:pPr>
              <w:autoSpaceDE w:val="0"/>
              <w:autoSpaceDN w:val="0"/>
              <w:adjustRightInd w:val="0"/>
              <w:spacing w:before="100" w:after="46"/>
              <w:jc w:val="center"/>
              <w:rPr>
                <w:sz w:val="20"/>
              </w:rPr>
            </w:pPr>
            <w:r w:rsidRPr="00D15774">
              <w:rPr>
                <w:sz w:val="20"/>
              </w:rPr>
              <w:t>5</w:t>
            </w:r>
          </w:p>
        </w:tc>
      </w:tr>
      <w:tr w:rsidR="00781C1F" w:rsidRPr="00D15774" w:rsidTr="00747654">
        <w:trPr>
          <w:cantSplit/>
          <w:jc w:val="center"/>
        </w:trPr>
        <w:tc>
          <w:tcPr>
            <w:tcW w:w="2700" w:type="dxa"/>
            <w:tcBorders>
              <w:top w:val="single" w:sz="6" w:space="0" w:color="000000"/>
              <w:left w:val="single" w:sz="6" w:space="0" w:color="000000"/>
              <w:bottom w:val="nil"/>
              <w:right w:val="nil"/>
            </w:tcBorders>
          </w:tcPr>
          <w:p w:rsidR="00781C1F" w:rsidRPr="00D15774" w:rsidRDefault="00781C1F" w:rsidP="00781C1F">
            <w:pPr>
              <w:autoSpaceDE w:val="0"/>
              <w:autoSpaceDN w:val="0"/>
              <w:adjustRightInd w:val="0"/>
              <w:spacing w:before="100" w:after="46"/>
              <w:rPr>
                <w:sz w:val="20"/>
              </w:rPr>
            </w:pPr>
            <w:r w:rsidRPr="00D15774">
              <w:rPr>
                <w:sz w:val="20"/>
              </w:rPr>
              <w:t>PM</w:t>
            </w:r>
          </w:p>
        </w:tc>
        <w:tc>
          <w:tcPr>
            <w:tcW w:w="4050" w:type="dxa"/>
            <w:tcBorders>
              <w:top w:val="single" w:sz="6" w:space="0" w:color="000000"/>
              <w:left w:val="single" w:sz="6" w:space="0" w:color="000000"/>
              <w:bottom w:val="nil"/>
              <w:right w:val="nil"/>
            </w:tcBorders>
          </w:tcPr>
          <w:p w:rsidR="00781C1F" w:rsidRPr="00D15774" w:rsidRDefault="00781C1F" w:rsidP="00781C1F">
            <w:pPr>
              <w:autoSpaceDE w:val="0"/>
              <w:autoSpaceDN w:val="0"/>
              <w:adjustRightInd w:val="0"/>
              <w:spacing w:before="100" w:after="46"/>
              <w:jc w:val="center"/>
              <w:rPr>
                <w:sz w:val="20"/>
              </w:rPr>
            </w:pPr>
            <w:r w:rsidRPr="00D15774">
              <w:rPr>
                <w:sz w:val="20"/>
              </w:rPr>
              <w:t>5</w:t>
            </w:r>
          </w:p>
        </w:tc>
        <w:tc>
          <w:tcPr>
            <w:tcW w:w="3870" w:type="dxa"/>
            <w:tcBorders>
              <w:top w:val="single" w:sz="6" w:space="0" w:color="000000"/>
              <w:left w:val="single" w:sz="6" w:space="0" w:color="000000"/>
              <w:bottom w:val="nil"/>
              <w:right w:val="single" w:sz="6" w:space="0" w:color="000000"/>
            </w:tcBorders>
          </w:tcPr>
          <w:p w:rsidR="00781C1F" w:rsidRPr="00D15774" w:rsidRDefault="00781C1F" w:rsidP="00781C1F">
            <w:pPr>
              <w:autoSpaceDE w:val="0"/>
              <w:autoSpaceDN w:val="0"/>
              <w:adjustRightInd w:val="0"/>
              <w:spacing w:before="100" w:after="46"/>
              <w:jc w:val="center"/>
              <w:rPr>
                <w:sz w:val="20"/>
              </w:rPr>
            </w:pPr>
            <w:r w:rsidRPr="00D15774">
              <w:rPr>
                <w:sz w:val="20"/>
              </w:rPr>
              <w:t>10</w:t>
            </w:r>
          </w:p>
        </w:tc>
      </w:tr>
      <w:tr w:rsidR="00781C1F" w:rsidRPr="00D15774" w:rsidTr="00747654">
        <w:trPr>
          <w:cantSplit/>
          <w:jc w:val="center"/>
        </w:trPr>
        <w:tc>
          <w:tcPr>
            <w:tcW w:w="2700" w:type="dxa"/>
            <w:tcBorders>
              <w:top w:val="single" w:sz="6" w:space="0" w:color="000000"/>
              <w:left w:val="single" w:sz="6" w:space="0" w:color="000000"/>
              <w:bottom w:val="nil"/>
              <w:right w:val="nil"/>
            </w:tcBorders>
          </w:tcPr>
          <w:p w:rsidR="00781C1F" w:rsidRPr="00D15774" w:rsidRDefault="00781C1F" w:rsidP="00781C1F">
            <w:pPr>
              <w:autoSpaceDE w:val="0"/>
              <w:autoSpaceDN w:val="0"/>
              <w:adjustRightInd w:val="0"/>
              <w:spacing w:before="100" w:after="46"/>
              <w:rPr>
                <w:sz w:val="20"/>
              </w:rPr>
            </w:pPr>
            <w:r w:rsidRPr="00D15774">
              <w:rPr>
                <w:sz w:val="20"/>
              </w:rPr>
              <w:t>PM10</w:t>
            </w:r>
          </w:p>
        </w:tc>
        <w:tc>
          <w:tcPr>
            <w:tcW w:w="4050" w:type="dxa"/>
            <w:tcBorders>
              <w:top w:val="single" w:sz="6" w:space="0" w:color="000000"/>
              <w:left w:val="single" w:sz="6" w:space="0" w:color="000000"/>
              <w:bottom w:val="nil"/>
              <w:right w:val="nil"/>
            </w:tcBorders>
          </w:tcPr>
          <w:p w:rsidR="00781C1F" w:rsidRPr="00D15774" w:rsidRDefault="00781C1F" w:rsidP="00781C1F">
            <w:pPr>
              <w:autoSpaceDE w:val="0"/>
              <w:autoSpaceDN w:val="0"/>
              <w:adjustRightInd w:val="0"/>
              <w:spacing w:before="100" w:after="46"/>
              <w:jc w:val="center"/>
              <w:rPr>
                <w:sz w:val="20"/>
              </w:rPr>
            </w:pPr>
            <w:r w:rsidRPr="00D15774">
              <w:rPr>
                <w:sz w:val="20"/>
              </w:rPr>
              <w:t>1</w:t>
            </w:r>
          </w:p>
        </w:tc>
        <w:tc>
          <w:tcPr>
            <w:tcW w:w="3870" w:type="dxa"/>
            <w:tcBorders>
              <w:top w:val="single" w:sz="6" w:space="0" w:color="000000"/>
              <w:left w:val="single" w:sz="6" w:space="0" w:color="000000"/>
              <w:bottom w:val="nil"/>
              <w:right w:val="single" w:sz="6" w:space="0" w:color="000000"/>
            </w:tcBorders>
          </w:tcPr>
          <w:p w:rsidR="00781C1F" w:rsidRPr="00D15774" w:rsidRDefault="00781C1F" w:rsidP="00781C1F">
            <w:pPr>
              <w:autoSpaceDE w:val="0"/>
              <w:autoSpaceDN w:val="0"/>
              <w:adjustRightInd w:val="0"/>
              <w:spacing w:before="100" w:after="46"/>
              <w:jc w:val="center"/>
              <w:rPr>
                <w:sz w:val="20"/>
              </w:rPr>
            </w:pPr>
            <w:r w:rsidRPr="00D15774">
              <w:rPr>
                <w:sz w:val="20"/>
              </w:rPr>
              <w:t>5</w:t>
            </w:r>
          </w:p>
        </w:tc>
      </w:tr>
      <w:tr w:rsidR="00781C1F" w:rsidRPr="00D15774" w:rsidTr="00747654">
        <w:trPr>
          <w:cantSplit/>
          <w:jc w:val="center"/>
        </w:trPr>
        <w:tc>
          <w:tcPr>
            <w:tcW w:w="2700" w:type="dxa"/>
            <w:tcBorders>
              <w:top w:val="single" w:sz="6" w:space="0" w:color="000000"/>
              <w:left w:val="single" w:sz="6" w:space="0" w:color="000000"/>
              <w:bottom w:val="nil"/>
              <w:right w:val="nil"/>
            </w:tcBorders>
          </w:tcPr>
          <w:p w:rsidR="00781C1F" w:rsidRPr="00D15774" w:rsidRDefault="00781C1F" w:rsidP="00781C1F">
            <w:pPr>
              <w:autoSpaceDE w:val="0"/>
              <w:autoSpaceDN w:val="0"/>
              <w:adjustRightInd w:val="0"/>
              <w:spacing w:before="100" w:after="46"/>
              <w:rPr>
                <w:sz w:val="20"/>
              </w:rPr>
            </w:pPr>
            <w:r w:rsidRPr="00D15774">
              <w:rPr>
                <w:sz w:val="20"/>
              </w:rPr>
              <w:t>PM2.5</w:t>
            </w:r>
          </w:p>
        </w:tc>
        <w:tc>
          <w:tcPr>
            <w:tcW w:w="4050" w:type="dxa"/>
            <w:tcBorders>
              <w:top w:val="single" w:sz="6" w:space="0" w:color="000000"/>
              <w:left w:val="single" w:sz="6" w:space="0" w:color="000000"/>
              <w:bottom w:val="nil"/>
              <w:right w:val="nil"/>
            </w:tcBorders>
          </w:tcPr>
          <w:p w:rsidR="00781C1F" w:rsidRPr="00D15774" w:rsidRDefault="00781C1F" w:rsidP="00781C1F">
            <w:pPr>
              <w:autoSpaceDE w:val="0"/>
              <w:autoSpaceDN w:val="0"/>
              <w:adjustRightInd w:val="0"/>
              <w:spacing w:before="100" w:after="46"/>
              <w:jc w:val="center"/>
              <w:rPr>
                <w:sz w:val="20"/>
              </w:rPr>
            </w:pPr>
            <w:r w:rsidRPr="00D15774">
              <w:rPr>
                <w:sz w:val="20"/>
              </w:rPr>
              <w:t>0.6</w:t>
            </w:r>
          </w:p>
        </w:tc>
        <w:tc>
          <w:tcPr>
            <w:tcW w:w="3870" w:type="dxa"/>
            <w:tcBorders>
              <w:top w:val="single" w:sz="6" w:space="0" w:color="000000"/>
              <w:left w:val="single" w:sz="6" w:space="0" w:color="000000"/>
              <w:bottom w:val="nil"/>
              <w:right w:val="single" w:sz="6" w:space="0" w:color="000000"/>
            </w:tcBorders>
          </w:tcPr>
          <w:p w:rsidR="00781C1F" w:rsidRPr="00D15774" w:rsidRDefault="00781C1F" w:rsidP="00781C1F">
            <w:pPr>
              <w:autoSpaceDE w:val="0"/>
              <w:autoSpaceDN w:val="0"/>
              <w:adjustRightInd w:val="0"/>
              <w:spacing w:before="100" w:after="46"/>
              <w:jc w:val="center"/>
              <w:rPr>
                <w:sz w:val="20"/>
              </w:rPr>
            </w:pPr>
            <w:r w:rsidRPr="00D15774">
              <w:rPr>
                <w:sz w:val="20"/>
              </w:rPr>
              <w:t>3</w:t>
            </w:r>
          </w:p>
        </w:tc>
      </w:tr>
      <w:tr w:rsidR="00781C1F" w:rsidRPr="00D15774" w:rsidTr="00747654">
        <w:trPr>
          <w:cantSplit/>
          <w:jc w:val="center"/>
        </w:trPr>
        <w:tc>
          <w:tcPr>
            <w:tcW w:w="2700" w:type="dxa"/>
            <w:tcBorders>
              <w:top w:val="single" w:sz="6" w:space="0" w:color="000000"/>
              <w:left w:val="single" w:sz="6" w:space="0" w:color="000000"/>
              <w:bottom w:val="nil"/>
              <w:right w:val="nil"/>
            </w:tcBorders>
          </w:tcPr>
          <w:p w:rsidR="00781C1F" w:rsidRPr="00D15774" w:rsidRDefault="00781C1F" w:rsidP="00781C1F">
            <w:pPr>
              <w:autoSpaceDE w:val="0"/>
              <w:autoSpaceDN w:val="0"/>
              <w:adjustRightInd w:val="0"/>
              <w:spacing w:before="100" w:after="46"/>
              <w:rPr>
                <w:sz w:val="20"/>
              </w:rPr>
            </w:pPr>
            <w:r w:rsidRPr="00D15774">
              <w:rPr>
                <w:sz w:val="20"/>
              </w:rPr>
              <w:t>Lead</w:t>
            </w:r>
          </w:p>
        </w:tc>
        <w:tc>
          <w:tcPr>
            <w:tcW w:w="4050" w:type="dxa"/>
            <w:tcBorders>
              <w:top w:val="single" w:sz="6" w:space="0" w:color="000000"/>
              <w:left w:val="single" w:sz="6" w:space="0" w:color="000000"/>
              <w:bottom w:val="nil"/>
              <w:right w:val="nil"/>
            </w:tcBorders>
          </w:tcPr>
          <w:p w:rsidR="00781C1F" w:rsidRPr="00D15774" w:rsidRDefault="00781C1F" w:rsidP="00781C1F">
            <w:pPr>
              <w:autoSpaceDE w:val="0"/>
              <w:autoSpaceDN w:val="0"/>
              <w:adjustRightInd w:val="0"/>
              <w:spacing w:before="100" w:after="46"/>
              <w:jc w:val="center"/>
              <w:rPr>
                <w:sz w:val="20"/>
              </w:rPr>
            </w:pPr>
            <w:r w:rsidRPr="00D15774">
              <w:rPr>
                <w:sz w:val="20"/>
              </w:rPr>
              <w:t>0.1</w:t>
            </w:r>
          </w:p>
        </w:tc>
        <w:tc>
          <w:tcPr>
            <w:tcW w:w="3870" w:type="dxa"/>
            <w:tcBorders>
              <w:top w:val="single" w:sz="6" w:space="0" w:color="000000"/>
              <w:left w:val="single" w:sz="6" w:space="0" w:color="000000"/>
              <w:bottom w:val="nil"/>
              <w:right w:val="single" w:sz="6" w:space="0" w:color="000000"/>
            </w:tcBorders>
          </w:tcPr>
          <w:p w:rsidR="00781C1F" w:rsidRPr="00D15774" w:rsidRDefault="00781C1F" w:rsidP="00781C1F">
            <w:pPr>
              <w:autoSpaceDE w:val="0"/>
              <w:autoSpaceDN w:val="0"/>
              <w:adjustRightInd w:val="0"/>
              <w:spacing w:before="100" w:after="46"/>
              <w:jc w:val="center"/>
              <w:rPr>
                <w:sz w:val="20"/>
              </w:rPr>
            </w:pPr>
            <w:r w:rsidRPr="00D15774">
              <w:rPr>
                <w:sz w:val="20"/>
              </w:rPr>
              <w:t>0.1</w:t>
            </w:r>
          </w:p>
        </w:tc>
      </w:tr>
      <w:tr w:rsidR="00781C1F" w:rsidRPr="00D15774" w:rsidTr="00747654">
        <w:trPr>
          <w:cantSplit/>
          <w:jc w:val="center"/>
        </w:trPr>
        <w:tc>
          <w:tcPr>
            <w:tcW w:w="2700" w:type="dxa"/>
            <w:tcBorders>
              <w:top w:val="single" w:sz="6" w:space="0" w:color="000000"/>
              <w:left w:val="single" w:sz="6" w:space="0" w:color="000000"/>
              <w:bottom w:val="nil"/>
              <w:right w:val="nil"/>
            </w:tcBorders>
          </w:tcPr>
          <w:p w:rsidR="00781C1F" w:rsidRPr="00D15774" w:rsidRDefault="00781C1F" w:rsidP="00781C1F">
            <w:pPr>
              <w:autoSpaceDE w:val="0"/>
              <w:autoSpaceDN w:val="0"/>
              <w:adjustRightInd w:val="0"/>
              <w:spacing w:before="100" w:after="46"/>
              <w:rPr>
                <w:sz w:val="20"/>
              </w:rPr>
            </w:pPr>
            <w:r w:rsidRPr="00D15774">
              <w:rPr>
                <w:sz w:val="20"/>
              </w:rPr>
              <w:t>Fluorides</w:t>
            </w:r>
          </w:p>
        </w:tc>
        <w:tc>
          <w:tcPr>
            <w:tcW w:w="4050" w:type="dxa"/>
            <w:tcBorders>
              <w:top w:val="single" w:sz="6" w:space="0" w:color="000000"/>
              <w:left w:val="single" w:sz="6" w:space="0" w:color="000000"/>
              <w:bottom w:val="nil"/>
              <w:right w:val="nil"/>
            </w:tcBorders>
          </w:tcPr>
          <w:p w:rsidR="00781C1F" w:rsidRPr="00D15774" w:rsidRDefault="00781C1F" w:rsidP="00781C1F">
            <w:pPr>
              <w:autoSpaceDE w:val="0"/>
              <w:autoSpaceDN w:val="0"/>
              <w:adjustRightInd w:val="0"/>
              <w:spacing w:before="100" w:after="46"/>
              <w:jc w:val="center"/>
              <w:rPr>
                <w:sz w:val="20"/>
              </w:rPr>
            </w:pPr>
            <w:r w:rsidRPr="00D15774">
              <w:rPr>
                <w:sz w:val="20"/>
              </w:rPr>
              <w:t>N</w:t>
            </w:r>
            <w:r w:rsidR="009D2CB1" w:rsidRPr="00D15774">
              <w:rPr>
                <w:sz w:val="20"/>
              </w:rPr>
              <w:t xml:space="preserve">ot </w:t>
            </w:r>
            <w:r w:rsidRPr="00D15774">
              <w:rPr>
                <w:sz w:val="20"/>
              </w:rPr>
              <w:t>A</w:t>
            </w:r>
            <w:r w:rsidR="009D2CB1" w:rsidRPr="00D15774">
              <w:rPr>
                <w:sz w:val="20"/>
              </w:rPr>
              <w:t>pplicable</w:t>
            </w:r>
          </w:p>
        </w:tc>
        <w:tc>
          <w:tcPr>
            <w:tcW w:w="3870" w:type="dxa"/>
            <w:tcBorders>
              <w:top w:val="single" w:sz="6" w:space="0" w:color="000000"/>
              <w:left w:val="single" w:sz="6" w:space="0" w:color="000000"/>
              <w:bottom w:val="nil"/>
              <w:right w:val="single" w:sz="6" w:space="0" w:color="000000"/>
            </w:tcBorders>
          </w:tcPr>
          <w:p w:rsidR="00781C1F" w:rsidRPr="00D15774" w:rsidRDefault="00781C1F" w:rsidP="00781C1F">
            <w:pPr>
              <w:autoSpaceDE w:val="0"/>
              <w:autoSpaceDN w:val="0"/>
              <w:adjustRightInd w:val="0"/>
              <w:spacing w:before="100" w:after="46"/>
              <w:jc w:val="center"/>
              <w:rPr>
                <w:sz w:val="20"/>
              </w:rPr>
            </w:pPr>
            <w:r w:rsidRPr="00D15774">
              <w:rPr>
                <w:sz w:val="20"/>
              </w:rPr>
              <w:t>1</w:t>
            </w:r>
          </w:p>
        </w:tc>
      </w:tr>
      <w:tr w:rsidR="00781C1F" w:rsidRPr="00D15774" w:rsidTr="00747654">
        <w:trPr>
          <w:cantSplit/>
          <w:trHeight w:val="540"/>
          <w:jc w:val="center"/>
        </w:trPr>
        <w:tc>
          <w:tcPr>
            <w:tcW w:w="2700" w:type="dxa"/>
            <w:tcBorders>
              <w:top w:val="single" w:sz="6" w:space="0" w:color="000000"/>
              <w:left w:val="single" w:sz="6" w:space="0" w:color="000000"/>
              <w:bottom w:val="nil"/>
              <w:right w:val="nil"/>
            </w:tcBorders>
            <w:vAlign w:val="center"/>
          </w:tcPr>
          <w:p w:rsidR="00781C1F" w:rsidRPr="00D15774" w:rsidRDefault="00781C1F" w:rsidP="00781C1F">
            <w:pPr>
              <w:autoSpaceDE w:val="0"/>
              <w:autoSpaceDN w:val="0"/>
              <w:adjustRightInd w:val="0"/>
              <w:spacing w:before="100" w:after="46"/>
              <w:rPr>
                <w:sz w:val="20"/>
              </w:rPr>
            </w:pPr>
            <w:r w:rsidRPr="00D15774">
              <w:rPr>
                <w:sz w:val="20"/>
              </w:rPr>
              <w:t>Sulfuric acid mist</w:t>
            </w:r>
          </w:p>
        </w:tc>
        <w:tc>
          <w:tcPr>
            <w:tcW w:w="4050" w:type="dxa"/>
            <w:tcBorders>
              <w:top w:val="single" w:sz="6" w:space="0" w:color="000000"/>
              <w:left w:val="single" w:sz="6" w:space="0" w:color="000000"/>
              <w:bottom w:val="nil"/>
              <w:right w:val="nil"/>
            </w:tcBorders>
            <w:vAlign w:val="center"/>
          </w:tcPr>
          <w:p w:rsidR="00781C1F" w:rsidRPr="00D15774" w:rsidRDefault="009D2CB1" w:rsidP="00781C1F">
            <w:pPr>
              <w:autoSpaceDE w:val="0"/>
              <w:autoSpaceDN w:val="0"/>
              <w:adjustRightInd w:val="0"/>
              <w:spacing w:before="100" w:after="46"/>
              <w:jc w:val="center"/>
              <w:rPr>
                <w:sz w:val="20"/>
              </w:rPr>
            </w:pPr>
            <w:r w:rsidRPr="00D15774">
              <w:rPr>
                <w:sz w:val="20"/>
              </w:rPr>
              <w:t>Not Applicable</w:t>
            </w:r>
          </w:p>
        </w:tc>
        <w:tc>
          <w:tcPr>
            <w:tcW w:w="3870" w:type="dxa"/>
            <w:tcBorders>
              <w:top w:val="single" w:sz="6" w:space="0" w:color="000000"/>
              <w:left w:val="single" w:sz="6" w:space="0" w:color="000000"/>
              <w:bottom w:val="nil"/>
              <w:right w:val="single" w:sz="6" w:space="0" w:color="000000"/>
            </w:tcBorders>
            <w:vAlign w:val="center"/>
          </w:tcPr>
          <w:p w:rsidR="00781C1F" w:rsidRPr="00D15774" w:rsidRDefault="00781C1F" w:rsidP="00781C1F">
            <w:pPr>
              <w:autoSpaceDE w:val="0"/>
              <w:autoSpaceDN w:val="0"/>
              <w:adjustRightInd w:val="0"/>
              <w:spacing w:before="100" w:after="46"/>
              <w:jc w:val="center"/>
              <w:rPr>
                <w:sz w:val="20"/>
              </w:rPr>
            </w:pPr>
            <w:r w:rsidRPr="00D15774">
              <w:rPr>
                <w:sz w:val="20"/>
              </w:rPr>
              <w:t>2</w:t>
            </w:r>
          </w:p>
        </w:tc>
      </w:tr>
      <w:tr w:rsidR="00781C1F" w:rsidRPr="00D15774" w:rsidTr="00747654">
        <w:trPr>
          <w:cantSplit/>
          <w:jc w:val="center"/>
        </w:trPr>
        <w:tc>
          <w:tcPr>
            <w:tcW w:w="2700" w:type="dxa"/>
            <w:tcBorders>
              <w:top w:val="single" w:sz="6" w:space="0" w:color="000000"/>
              <w:left w:val="single" w:sz="6" w:space="0" w:color="000000"/>
              <w:bottom w:val="nil"/>
              <w:right w:val="nil"/>
            </w:tcBorders>
          </w:tcPr>
          <w:p w:rsidR="00781C1F" w:rsidRPr="00D15774" w:rsidRDefault="00781C1F" w:rsidP="00781C1F">
            <w:pPr>
              <w:autoSpaceDE w:val="0"/>
              <w:autoSpaceDN w:val="0"/>
              <w:adjustRightInd w:val="0"/>
              <w:spacing w:before="100" w:after="46"/>
              <w:rPr>
                <w:sz w:val="20"/>
              </w:rPr>
            </w:pPr>
            <w:r w:rsidRPr="00D15774">
              <w:rPr>
                <w:sz w:val="20"/>
              </w:rPr>
              <w:t>Hydrogen sulfide (H2S)</w:t>
            </w:r>
          </w:p>
        </w:tc>
        <w:tc>
          <w:tcPr>
            <w:tcW w:w="4050" w:type="dxa"/>
            <w:tcBorders>
              <w:top w:val="single" w:sz="6" w:space="0" w:color="000000"/>
              <w:left w:val="single" w:sz="6" w:space="0" w:color="000000"/>
              <w:bottom w:val="nil"/>
              <w:right w:val="nil"/>
            </w:tcBorders>
          </w:tcPr>
          <w:p w:rsidR="00781C1F" w:rsidRPr="00D15774" w:rsidRDefault="009D2CB1" w:rsidP="00781C1F">
            <w:pPr>
              <w:autoSpaceDE w:val="0"/>
              <w:autoSpaceDN w:val="0"/>
              <w:adjustRightInd w:val="0"/>
              <w:spacing w:before="100" w:after="46"/>
              <w:jc w:val="center"/>
              <w:rPr>
                <w:sz w:val="20"/>
              </w:rPr>
            </w:pPr>
            <w:r w:rsidRPr="00D15774">
              <w:rPr>
                <w:sz w:val="20"/>
              </w:rPr>
              <w:t>Not Applicable</w:t>
            </w:r>
          </w:p>
        </w:tc>
        <w:tc>
          <w:tcPr>
            <w:tcW w:w="3870" w:type="dxa"/>
            <w:tcBorders>
              <w:top w:val="single" w:sz="6" w:space="0" w:color="000000"/>
              <w:left w:val="single" w:sz="6" w:space="0" w:color="000000"/>
              <w:bottom w:val="nil"/>
              <w:right w:val="single" w:sz="6" w:space="0" w:color="000000"/>
            </w:tcBorders>
          </w:tcPr>
          <w:p w:rsidR="00781C1F" w:rsidRPr="00D15774" w:rsidRDefault="00781C1F" w:rsidP="00781C1F">
            <w:pPr>
              <w:autoSpaceDE w:val="0"/>
              <w:autoSpaceDN w:val="0"/>
              <w:adjustRightInd w:val="0"/>
              <w:spacing w:before="100" w:after="46"/>
              <w:jc w:val="center"/>
              <w:rPr>
                <w:sz w:val="20"/>
              </w:rPr>
            </w:pPr>
            <w:r w:rsidRPr="00D15774">
              <w:rPr>
                <w:sz w:val="20"/>
              </w:rPr>
              <w:t>2</w:t>
            </w:r>
          </w:p>
        </w:tc>
      </w:tr>
      <w:tr w:rsidR="00781C1F" w:rsidRPr="00D15774" w:rsidTr="00747654">
        <w:trPr>
          <w:cantSplit/>
          <w:jc w:val="center"/>
        </w:trPr>
        <w:tc>
          <w:tcPr>
            <w:tcW w:w="2700" w:type="dxa"/>
            <w:tcBorders>
              <w:top w:val="single" w:sz="6" w:space="0" w:color="000000"/>
              <w:left w:val="single" w:sz="6" w:space="0" w:color="000000"/>
              <w:bottom w:val="nil"/>
              <w:right w:val="nil"/>
            </w:tcBorders>
          </w:tcPr>
          <w:p w:rsidR="00781C1F" w:rsidRPr="00D15774" w:rsidRDefault="00781C1F" w:rsidP="00781C1F">
            <w:pPr>
              <w:autoSpaceDE w:val="0"/>
              <w:autoSpaceDN w:val="0"/>
              <w:adjustRightInd w:val="0"/>
              <w:spacing w:before="100" w:after="46"/>
              <w:rPr>
                <w:sz w:val="20"/>
              </w:rPr>
            </w:pPr>
            <w:r w:rsidRPr="00D15774">
              <w:rPr>
                <w:sz w:val="20"/>
              </w:rPr>
              <w:t>Total reduced sulfur (including H2S)</w:t>
            </w:r>
          </w:p>
        </w:tc>
        <w:tc>
          <w:tcPr>
            <w:tcW w:w="4050" w:type="dxa"/>
            <w:tcBorders>
              <w:top w:val="single" w:sz="6" w:space="0" w:color="000000"/>
              <w:left w:val="single" w:sz="6" w:space="0" w:color="000000"/>
              <w:bottom w:val="nil"/>
              <w:right w:val="nil"/>
            </w:tcBorders>
          </w:tcPr>
          <w:p w:rsidR="00781C1F" w:rsidRPr="00D15774" w:rsidRDefault="009D2CB1" w:rsidP="00781C1F">
            <w:pPr>
              <w:autoSpaceDE w:val="0"/>
              <w:autoSpaceDN w:val="0"/>
              <w:adjustRightInd w:val="0"/>
              <w:spacing w:before="100" w:after="46"/>
              <w:jc w:val="center"/>
              <w:rPr>
                <w:sz w:val="20"/>
              </w:rPr>
            </w:pPr>
            <w:r w:rsidRPr="00D15774">
              <w:rPr>
                <w:sz w:val="20"/>
              </w:rPr>
              <w:t>Not Applicable</w:t>
            </w:r>
          </w:p>
        </w:tc>
        <w:tc>
          <w:tcPr>
            <w:tcW w:w="3870" w:type="dxa"/>
            <w:tcBorders>
              <w:top w:val="single" w:sz="6" w:space="0" w:color="000000"/>
              <w:left w:val="single" w:sz="6" w:space="0" w:color="000000"/>
              <w:bottom w:val="nil"/>
              <w:right w:val="single" w:sz="6" w:space="0" w:color="000000"/>
            </w:tcBorders>
          </w:tcPr>
          <w:p w:rsidR="00781C1F" w:rsidRPr="00D15774" w:rsidRDefault="00781C1F" w:rsidP="00781C1F">
            <w:pPr>
              <w:autoSpaceDE w:val="0"/>
              <w:autoSpaceDN w:val="0"/>
              <w:adjustRightInd w:val="0"/>
              <w:spacing w:before="100" w:after="46"/>
              <w:jc w:val="center"/>
              <w:rPr>
                <w:sz w:val="20"/>
              </w:rPr>
            </w:pPr>
            <w:r w:rsidRPr="00D15774">
              <w:rPr>
                <w:sz w:val="20"/>
              </w:rPr>
              <w:t>2</w:t>
            </w:r>
          </w:p>
        </w:tc>
      </w:tr>
      <w:tr w:rsidR="00781C1F" w:rsidRPr="00D15774" w:rsidTr="00747654">
        <w:trPr>
          <w:cantSplit/>
          <w:jc w:val="center"/>
        </w:trPr>
        <w:tc>
          <w:tcPr>
            <w:tcW w:w="2700" w:type="dxa"/>
            <w:tcBorders>
              <w:top w:val="single" w:sz="6" w:space="0" w:color="000000"/>
              <w:left w:val="single" w:sz="6" w:space="0" w:color="000000"/>
              <w:bottom w:val="nil"/>
              <w:right w:val="nil"/>
            </w:tcBorders>
          </w:tcPr>
          <w:p w:rsidR="00781C1F" w:rsidRPr="00D15774" w:rsidRDefault="00781C1F" w:rsidP="00781C1F">
            <w:pPr>
              <w:autoSpaceDE w:val="0"/>
              <w:autoSpaceDN w:val="0"/>
              <w:adjustRightInd w:val="0"/>
              <w:spacing w:before="100" w:after="46"/>
              <w:rPr>
                <w:sz w:val="20"/>
              </w:rPr>
            </w:pPr>
            <w:r w:rsidRPr="00D15774">
              <w:rPr>
                <w:sz w:val="20"/>
              </w:rPr>
              <w:t>Reduced sulfur compounds (including H2S)</w:t>
            </w:r>
          </w:p>
        </w:tc>
        <w:tc>
          <w:tcPr>
            <w:tcW w:w="4050" w:type="dxa"/>
            <w:tcBorders>
              <w:top w:val="single" w:sz="6" w:space="0" w:color="000000"/>
              <w:left w:val="single" w:sz="6" w:space="0" w:color="000000"/>
              <w:bottom w:val="nil"/>
              <w:right w:val="nil"/>
            </w:tcBorders>
          </w:tcPr>
          <w:p w:rsidR="00781C1F" w:rsidRPr="00D15774" w:rsidRDefault="009D2CB1" w:rsidP="00781C1F">
            <w:pPr>
              <w:autoSpaceDE w:val="0"/>
              <w:autoSpaceDN w:val="0"/>
              <w:adjustRightInd w:val="0"/>
              <w:spacing w:before="100" w:after="46"/>
              <w:jc w:val="center"/>
              <w:rPr>
                <w:sz w:val="20"/>
              </w:rPr>
            </w:pPr>
            <w:r w:rsidRPr="00D15774">
              <w:rPr>
                <w:sz w:val="20"/>
              </w:rPr>
              <w:t>Not Applicable</w:t>
            </w:r>
          </w:p>
        </w:tc>
        <w:tc>
          <w:tcPr>
            <w:tcW w:w="3870" w:type="dxa"/>
            <w:tcBorders>
              <w:top w:val="single" w:sz="6" w:space="0" w:color="000000"/>
              <w:left w:val="single" w:sz="6" w:space="0" w:color="000000"/>
              <w:bottom w:val="nil"/>
              <w:right w:val="single" w:sz="6" w:space="0" w:color="000000"/>
            </w:tcBorders>
          </w:tcPr>
          <w:p w:rsidR="00781C1F" w:rsidRPr="00D15774" w:rsidRDefault="00781C1F" w:rsidP="00781C1F">
            <w:pPr>
              <w:autoSpaceDE w:val="0"/>
              <w:autoSpaceDN w:val="0"/>
              <w:adjustRightInd w:val="0"/>
              <w:spacing w:before="100" w:after="46"/>
              <w:jc w:val="center"/>
              <w:rPr>
                <w:sz w:val="20"/>
              </w:rPr>
            </w:pPr>
            <w:r w:rsidRPr="00D15774">
              <w:rPr>
                <w:sz w:val="20"/>
              </w:rPr>
              <w:t>2</w:t>
            </w:r>
          </w:p>
        </w:tc>
      </w:tr>
      <w:tr w:rsidR="00781C1F" w:rsidRPr="00D15774" w:rsidTr="00747654">
        <w:trPr>
          <w:cantSplit/>
          <w:jc w:val="center"/>
        </w:trPr>
        <w:tc>
          <w:tcPr>
            <w:tcW w:w="2700" w:type="dxa"/>
            <w:tcBorders>
              <w:top w:val="single" w:sz="6" w:space="0" w:color="000000"/>
              <w:left w:val="single" w:sz="6" w:space="0" w:color="000000"/>
              <w:bottom w:val="nil"/>
              <w:right w:val="nil"/>
            </w:tcBorders>
          </w:tcPr>
          <w:p w:rsidR="00781C1F" w:rsidRPr="00D15774" w:rsidRDefault="00781C1F" w:rsidP="00781C1F">
            <w:pPr>
              <w:autoSpaceDE w:val="0"/>
              <w:autoSpaceDN w:val="0"/>
              <w:adjustRightInd w:val="0"/>
              <w:spacing w:before="100" w:after="46"/>
              <w:rPr>
                <w:sz w:val="20"/>
              </w:rPr>
            </w:pPr>
            <w:r w:rsidRPr="00D15774">
              <w:rPr>
                <w:sz w:val="20"/>
              </w:rPr>
              <w:t>Municipal waste combustor emissions</w:t>
            </w:r>
          </w:p>
        </w:tc>
        <w:tc>
          <w:tcPr>
            <w:tcW w:w="4050" w:type="dxa"/>
            <w:tcBorders>
              <w:top w:val="single" w:sz="6" w:space="0" w:color="000000"/>
              <w:left w:val="single" w:sz="6" w:space="0" w:color="000000"/>
              <w:bottom w:val="nil"/>
              <w:right w:val="nil"/>
            </w:tcBorders>
          </w:tcPr>
          <w:p w:rsidR="00781C1F" w:rsidRPr="00D15774" w:rsidRDefault="009D2CB1" w:rsidP="00781C1F">
            <w:pPr>
              <w:autoSpaceDE w:val="0"/>
              <w:autoSpaceDN w:val="0"/>
              <w:adjustRightInd w:val="0"/>
              <w:spacing w:before="100" w:after="46"/>
              <w:jc w:val="center"/>
              <w:rPr>
                <w:sz w:val="20"/>
              </w:rPr>
            </w:pPr>
            <w:r w:rsidRPr="00D15774">
              <w:rPr>
                <w:sz w:val="20"/>
              </w:rPr>
              <w:t>Not Applicable</w:t>
            </w:r>
          </w:p>
        </w:tc>
        <w:tc>
          <w:tcPr>
            <w:tcW w:w="3870" w:type="dxa"/>
            <w:tcBorders>
              <w:top w:val="single" w:sz="6" w:space="0" w:color="000000"/>
              <w:left w:val="single" w:sz="6" w:space="0" w:color="000000"/>
              <w:bottom w:val="nil"/>
              <w:right w:val="single" w:sz="6" w:space="0" w:color="000000"/>
            </w:tcBorders>
          </w:tcPr>
          <w:p w:rsidR="00781C1F" w:rsidRPr="00D15774" w:rsidRDefault="00781C1F" w:rsidP="00781C1F">
            <w:pPr>
              <w:autoSpaceDE w:val="0"/>
              <w:autoSpaceDN w:val="0"/>
              <w:adjustRightInd w:val="0"/>
              <w:spacing w:before="100" w:after="46"/>
              <w:jc w:val="center"/>
              <w:rPr>
                <w:sz w:val="20"/>
              </w:rPr>
            </w:pPr>
            <w:r w:rsidRPr="00D15774">
              <w:rPr>
                <w:sz w:val="20"/>
              </w:rPr>
              <w:t>2</w:t>
            </w:r>
          </w:p>
        </w:tc>
      </w:tr>
      <w:tr w:rsidR="00781C1F" w:rsidRPr="00D15774" w:rsidTr="00747654">
        <w:trPr>
          <w:cantSplit/>
          <w:jc w:val="center"/>
        </w:trPr>
        <w:tc>
          <w:tcPr>
            <w:tcW w:w="2700" w:type="dxa"/>
            <w:tcBorders>
              <w:top w:val="single" w:sz="6" w:space="0" w:color="000000"/>
              <w:left w:val="single" w:sz="6" w:space="0" w:color="000000"/>
              <w:bottom w:val="single" w:sz="6" w:space="0" w:color="000000"/>
              <w:right w:val="nil"/>
            </w:tcBorders>
          </w:tcPr>
          <w:p w:rsidR="00781C1F" w:rsidRPr="00D15774" w:rsidRDefault="00781C1F" w:rsidP="00781C1F">
            <w:pPr>
              <w:autoSpaceDE w:val="0"/>
              <w:autoSpaceDN w:val="0"/>
              <w:adjustRightInd w:val="0"/>
              <w:spacing w:before="100" w:after="46"/>
              <w:rPr>
                <w:sz w:val="20"/>
              </w:rPr>
            </w:pPr>
            <w:r w:rsidRPr="00D15774">
              <w:rPr>
                <w:sz w:val="20"/>
              </w:rPr>
              <w:t>Municipal solid waste landfill emissions (measured as nonmethane organic compounds)</w:t>
            </w:r>
          </w:p>
        </w:tc>
        <w:tc>
          <w:tcPr>
            <w:tcW w:w="4050" w:type="dxa"/>
            <w:tcBorders>
              <w:top w:val="single" w:sz="6" w:space="0" w:color="000000"/>
              <w:left w:val="single" w:sz="6" w:space="0" w:color="000000"/>
              <w:bottom w:val="single" w:sz="6" w:space="0" w:color="000000"/>
              <w:right w:val="nil"/>
            </w:tcBorders>
          </w:tcPr>
          <w:p w:rsidR="00781C1F" w:rsidRPr="00D15774" w:rsidRDefault="009D2CB1" w:rsidP="00781C1F">
            <w:pPr>
              <w:autoSpaceDE w:val="0"/>
              <w:autoSpaceDN w:val="0"/>
              <w:adjustRightInd w:val="0"/>
              <w:spacing w:before="100" w:after="46"/>
              <w:jc w:val="center"/>
              <w:rPr>
                <w:sz w:val="20"/>
              </w:rPr>
            </w:pPr>
            <w:r w:rsidRPr="00D15774">
              <w:rPr>
                <w:sz w:val="20"/>
              </w:rPr>
              <w:t>Not Applicable</w:t>
            </w:r>
          </w:p>
        </w:tc>
        <w:tc>
          <w:tcPr>
            <w:tcW w:w="3870" w:type="dxa"/>
            <w:tcBorders>
              <w:top w:val="single" w:sz="6" w:space="0" w:color="000000"/>
              <w:left w:val="single" w:sz="6" w:space="0" w:color="000000"/>
              <w:bottom w:val="single" w:sz="6" w:space="0" w:color="000000"/>
              <w:right w:val="single" w:sz="6" w:space="0" w:color="000000"/>
            </w:tcBorders>
          </w:tcPr>
          <w:p w:rsidR="00781C1F" w:rsidRPr="00D15774" w:rsidRDefault="00781C1F" w:rsidP="00781C1F">
            <w:pPr>
              <w:autoSpaceDE w:val="0"/>
              <w:autoSpaceDN w:val="0"/>
              <w:adjustRightInd w:val="0"/>
              <w:spacing w:before="100" w:after="46"/>
              <w:jc w:val="center"/>
              <w:rPr>
                <w:sz w:val="20"/>
              </w:rPr>
            </w:pPr>
            <w:r w:rsidRPr="00D15774">
              <w:rPr>
                <w:sz w:val="20"/>
              </w:rPr>
              <w:t>10</w:t>
            </w:r>
          </w:p>
        </w:tc>
      </w:tr>
    </w:tbl>
    <w:p w:rsidR="00781C1F" w:rsidRPr="00D15774" w:rsidRDefault="00243F94" w:rsidP="0002792F">
      <w:pPr>
        <w:tabs>
          <w:tab w:val="center" w:leader="dot" w:pos="360"/>
        </w:tabs>
        <w:autoSpaceDE w:val="0"/>
        <w:autoSpaceDN w:val="0"/>
        <w:adjustRightInd w:val="0"/>
        <w:jc w:val="center"/>
        <w:rPr>
          <w:b/>
          <w:szCs w:val="24"/>
          <w:u w:val="single"/>
        </w:rPr>
      </w:pPr>
      <w:r w:rsidRPr="00D15774">
        <w:rPr>
          <w:b/>
          <w:szCs w:val="24"/>
          <w:u w:val="single"/>
        </w:rPr>
        <w:t>Minor NSR Threshold F</w:t>
      </w:r>
      <w:r w:rsidR="00E8009B" w:rsidRPr="00D15774">
        <w:rPr>
          <w:b/>
          <w:szCs w:val="24"/>
          <w:u w:val="single"/>
        </w:rPr>
        <w:t>ootnotes</w:t>
      </w:r>
    </w:p>
    <w:p w:rsidR="00781C1F" w:rsidRPr="00D15774" w:rsidRDefault="00781C1F" w:rsidP="00D2559F">
      <w:pPr>
        <w:tabs>
          <w:tab w:val="center" w:leader="dot" w:pos="360"/>
        </w:tabs>
        <w:autoSpaceDE w:val="0"/>
        <w:autoSpaceDN w:val="0"/>
        <w:adjustRightInd w:val="0"/>
        <w:ind w:left="-360"/>
        <w:rPr>
          <w:szCs w:val="24"/>
        </w:rPr>
      </w:pPr>
      <w:r w:rsidRPr="00D15774">
        <w:rPr>
          <w:szCs w:val="24"/>
          <w:vertAlign w:val="superscript"/>
        </w:rPr>
        <w:t xml:space="preserve">a  </w:t>
      </w:r>
      <w:r w:rsidRPr="00D15774">
        <w:rPr>
          <w:szCs w:val="24"/>
        </w:rPr>
        <w:tab/>
      </w:r>
      <w:r w:rsidR="00E8009B" w:rsidRPr="00D15774">
        <w:rPr>
          <w:szCs w:val="24"/>
        </w:rPr>
        <w:t xml:space="preserve"> </w:t>
      </w:r>
      <w:r w:rsidRPr="00D15774">
        <w:rPr>
          <w:szCs w:val="24"/>
        </w:rPr>
        <w:t>If part of a Tribe’s area of Indian country is designated as attainment and another part as nonattainment, the applicable threshold for a proposed source or modification is determined based on the designation where the source would be located. If the source straddles the two areas, the more stringent thresholds apply.</w:t>
      </w:r>
    </w:p>
    <w:p w:rsidR="00944DDA" w:rsidRPr="00D15774" w:rsidRDefault="00944DDA" w:rsidP="00944DDA">
      <w:pPr>
        <w:tabs>
          <w:tab w:val="center" w:leader="dot" w:pos="360"/>
        </w:tabs>
        <w:autoSpaceDE w:val="0"/>
        <w:autoSpaceDN w:val="0"/>
        <w:adjustRightInd w:val="0"/>
        <w:ind w:left="-360" w:firstLine="360"/>
        <w:rPr>
          <w:szCs w:val="24"/>
        </w:rPr>
      </w:pPr>
    </w:p>
    <w:p w:rsidR="00781C1F" w:rsidRDefault="00781C1F" w:rsidP="00C759C8">
      <w:pPr>
        <w:tabs>
          <w:tab w:val="center" w:leader="dot" w:pos="360"/>
        </w:tabs>
        <w:autoSpaceDE w:val="0"/>
        <w:autoSpaceDN w:val="0"/>
        <w:adjustRightInd w:val="0"/>
        <w:ind w:left="-360"/>
        <w:rPr>
          <w:szCs w:val="24"/>
        </w:rPr>
      </w:pPr>
      <w:r w:rsidRPr="00D15774">
        <w:rPr>
          <w:szCs w:val="24"/>
          <w:vertAlign w:val="superscript"/>
        </w:rPr>
        <w:t xml:space="preserve">b  </w:t>
      </w:r>
      <w:r w:rsidRPr="00D15774">
        <w:rPr>
          <w:szCs w:val="24"/>
        </w:rPr>
        <w:tab/>
      </w:r>
      <w:r w:rsidR="00E8009B" w:rsidRPr="00D15774">
        <w:rPr>
          <w:szCs w:val="24"/>
        </w:rPr>
        <w:t xml:space="preserve"> </w:t>
      </w:r>
      <w:r w:rsidRPr="00D15774">
        <w:rPr>
          <w:szCs w:val="24"/>
        </w:rPr>
        <w:t>In extreme ozone nonattainment areas, section 182(e)(2) of the Act requires any change at a major source that results in any increase in emissions to be subject to major NSR permitting. In other</w:t>
      </w:r>
      <w:r w:rsidR="00BA1F92" w:rsidRPr="00D15774">
        <w:rPr>
          <w:szCs w:val="24"/>
        </w:rPr>
        <w:t xml:space="preserve"> </w:t>
      </w:r>
      <w:r w:rsidR="004C07BC" w:rsidRPr="00D15774">
        <w:rPr>
          <w:szCs w:val="24"/>
        </w:rPr>
        <w:t>w</w:t>
      </w:r>
      <w:r w:rsidRPr="00D15774">
        <w:rPr>
          <w:szCs w:val="24"/>
        </w:rPr>
        <w:t>ords, any changes to existing major sources in extreme ozone nonattainment areas are subject to a ‘‘0’’ tpy threshold, but that threshold does not apply to minor sources.</w:t>
      </w:r>
    </w:p>
    <w:p w:rsidR="00DA30CA" w:rsidRPr="00D15774" w:rsidRDefault="00DA30CA" w:rsidP="00C759C8">
      <w:pPr>
        <w:tabs>
          <w:tab w:val="center" w:leader="dot" w:pos="360"/>
        </w:tabs>
        <w:autoSpaceDE w:val="0"/>
        <w:autoSpaceDN w:val="0"/>
        <w:adjustRightInd w:val="0"/>
        <w:ind w:left="-360"/>
        <w:rPr>
          <w:szCs w:val="24"/>
        </w:rPr>
      </w:pPr>
    </w:p>
    <w:p w:rsidR="00042617" w:rsidRPr="00D15774" w:rsidRDefault="004C07BC" w:rsidP="000B0BB8">
      <w:pPr>
        <w:pStyle w:val="Heading3"/>
        <w:rPr>
          <w:rFonts w:ascii="Times New Roman" w:hAnsi="Times New Roman" w:cs="Times New Roman"/>
          <w:color w:val="auto"/>
        </w:rPr>
      </w:pPr>
      <w:r w:rsidRPr="00D15774">
        <w:rPr>
          <w:rFonts w:ascii="Times New Roman" w:hAnsi="Times New Roman" w:cs="Times New Roman"/>
          <w:color w:val="auto"/>
        </w:rPr>
        <w:tab/>
      </w:r>
      <w:bookmarkStart w:id="16" w:name="_Toc369086984"/>
      <w:r w:rsidR="00042617" w:rsidRPr="00D15774">
        <w:rPr>
          <w:rFonts w:ascii="Times New Roman" w:hAnsi="Times New Roman" w:cs="Times New Roman"/>
          <w:color w:val="auto"/>
        </w:rPr>
        <w:t>b.  Nonattainment Major NSR Rule in Indian Country</w:t>
      </w:r>
      <w:bookmarkEnd w:id="16"/>
      <w:r w:rsidR="00E21C92" w:rsidRPr="00D15774">
        <w:rPr>
          <w:rFonts w:ascii="Times New Roman" w:hAnsi="Times New Roman" w:cs="Times New Roman"/>
          <w:color w:val="auto"/>
        </w:rPr>
        <w:fldChar w:fldCharType="begin"/>
      </w:r>
      <w:r w:rsidR="00042617" w:rsidRPr="00D15774">
        <w:rPr>
          <w:rFonts w:ascii="Times New Roman" w:hAnsi="Times New Roman" w:cs="Times New Roman"/>
          <w:color w:val="auto"/>
        </w:rPr>
        <w:instrText xml:space="preserve"> TC \l2 "</w:instrText>
      </w:r>
      <w:bookmarkStart w:id="17" w:name="_Toc363192311"/>
      <w:r w:rsidR="00042617" w:rsidRPr="00D15774">
        <w:rPr>
          <w:rFonts w:ascii="Times New Roman" w:hAnsi="Times New Roman" w:cs="Times New Roman"/>
          <w:color w:val="auto"/>
        </w:rPr>
        <w:instrText>b.  Nonattainment Major NSR Rule in Indian Country</w:instrText>
      </w:r>
      <w:bookmarkEnd w:id="17"/>
      <w:r w:rsidR="00E21C92" w:rsidRPr="00D15774">
        <w:rPr>
          <w:rFonts w:ascii="Times New Roman" w:hAnsi="Times New Roman" w:cs="Times New Roman"/>
          <w:color w:val="auto"/>
        </w:rPr>
        <w:fldChar w:fldCharType="end"/>
      </w:r>
    </w:p>
    <w:p w:rsidR="00042617" w:rsidRPr="00D15774" w:rsidRDefault="00042617" w:rsidP="00C759C8">
      <w:pPr>
        <w:widowControl w:val="0"/>
        <w:tabs>
          <w:tab w:val="left" w:pos="325"/>
          <w:tab w:val="left" w:pos="700"/>
          <w:tab w:val="left" w:pos="1090"/>
        </w:tabs>
        <w:ind w:left="-360"/>
      </w:pPr>
    </w:p>
    <w:p w:rsidR="00042617" w:rsidRPr="00D15774" w:rsidRDefault="00042617" w:rsidP="00C759C8">
      <w:pPr>
        <w:widowControl w:val="0"/>
        <w:tabs>
          <w:tab w:val="left" w:pos="325"/>
          <w:tab w:val="left" w:pos="700"/>
          <w:tab w:val="left" w:pos="1090"/>
        </w:tabs>
        <w:ind w:left="-360"/>
      </w:pPr>
      <w:r w:rsidRPr="00D15774">
        <w:t>The nonattainment major NSR rule only applies to areas of Indian country that do not meet national air</w:t>
      </w:r>
      <w:r w:rsidR="0007546A" w:rsidRPr="00D15774">
        <w:t xml:space="preserve"> quality</w:t>
      </w:r>
      <w:r w:rsidRPr="00D15774">
        <w:t xml:space="preserve"> standar</w:t>
      </w:r>
      <w:r w:rsidR="00616050" w:rsidRPr="00D15774">
        <w:t>ds</w:t>
      </w:r>
      <w:r w:rsidRPr="00D15774">
        <w:t>.  New or modified industrial facilities with a potential to emit equal to or more than the major NSR thresholds, generally 100 tpy, are “major sources” of emissions and sub</w:t>
      </w:r>
      <w:r w:rsidR="006E02DA" w:rsidRPr="00D15774">
        <w:t>ject to the rule requirements.</w:t>
      </w:r>
    </w:p>
    <w:p w:rsidR="00042617" w:rsidRPr="00D15774" w:rsidRDefault="00042617">
      <w:pPr>
        <w:widowControl w:val="0"/>
        <w:tabs>
          <w:tab w:val="left" w:pos="325"/>
          <w:tab w:val="left" w:pos="700"/>
          <w:tab w:val="left" w:pos="1090"/>
        </w:tabs>
      </w:pPr>
    </w:p>
    <w:p w:rsidR="00042617" w:rsidRPr="00D15774" w:rsidRDefault="00042617" w:rsidP="00C759C8">
      <w:pPr>
        <w:widowControl w:val="0"/>
        <w:tabs>
          <w:tab w:val="left" w:pos="325"/>
          <w:tab w:val="left" w:pos="700"/>
          <w:tab w:val="left" w:pos="1090"/>
        </w:tabs>
        <w:ind w:left="-360"/>
      </w:pPr>
      <w:r w:rsidRPr="00D15774">
        <w:t xml:space="preserve">The </w:t>
      </w:r>
      <w:r w:rsidR="004205B5" w:rsidRPr="00D15774">
        <w:t>requirements in</w:t>
      </w:r>
      <w:r w:rsidRPr="00D15774">
        <w:t>clude:</w:t>
      </w:r>
    </w:p>
    <w:p w:rsidR="00042617" w:rsidRPr="00D15774" w:rsidRDefault="00042617">
      <w:pPr>
        <w:widowControl w:val="0"/>
        <w:tabs>
          <w:tab w:val="left" w:pos="325"/>
          <w:tab w:val="left" w:pos="700"/>
          <w:tab w:val="left" w:pos="1090"/>
        </w:tabs>
      </w:pPr>
      <w:r w:rsidRPr="00D15774">
        <w:t xml:space="preserve"> </w:t>
      </w:r>
    </w:p>
    <w:p w:rsidR="00042617" w:rsidRPr="00D15774" w:rsidRDefault="00042617">
      <w:pPr>
        <w:widowControl w:val="0"/>
        <w:tabs>
          <w:tab w:val="left" w:pos="325"/>
          <w:tab w:val="left" w:pos="700"/>
          <w:tab w:val="left" w:pos="1090"/>
        </w:tabs>
        <w:ind w:left="700" w:hanging="375"/>
      </w:pPr>
      <w:r w:rsidRPr="00D15774">
        <w:t>○</w:t>
      </w:r>
      <w:r w:rsidRPr="00D15774">
        <w:tab/>
        <w:t xml:space="preserve">Installing emissions controls that meet the requirements of Lowest Achievable Emission Rate (LAER) control technology,  </w:t>
      </w:r>
    </w:p>
    <w:p w:rsidR="00042617" w:rsidRPr="00D15774" w:rsidRDefault="00042617">
      <w:pPr>
        <w:widowControl w:val="0"/>
        <w:tabs>
          <w:tab w:val="left" w:pos="325"/>
          <w:tab w:val="left" w:pos="700"/>
          <w:tab w:val="left" w:pos="1090"/>
        </w:tabs>
        <w:ind w:left="700" w:hanging="375"/>
      </w:pPr>
      <w:r w:rsidRPr="00D15774">
        <w:t>○</w:t>
      </w:r>
      <w:r w:rsidRPr="00D15774">
        <w:tab/>
      </w:r>
      <w:r w:rsidR="00944DDA" w:rsidRPr="00D15774">
        <w:t>Obtain</w:t>
      </w:r>
      <w:r w:rsidRPr="00D15774">
        <w:t xml:space="preserve">ing emissions offsets – New or modified major sources contributing to increased emissions would have to obtain emissions reductions from other sources to offset that increase.  These emissions offsets would provide a net air quality benefit in the affected area and </w:t>
      </w:r>
    </w:p>
    <w:p w:rsidR="00042617" w:rsidRPr="00D15774" w:rsidRDefault="00042617">
      <w:pPr>
        <w:widowControl w:val="0"/>
        <w:tabs>
          <w:tab w:val="left" w:pos="325"/>
          <w:tab w:val="left" w:pos="700"/>
          <w:tab w:val="left" w:pos="1090"/>
        </w:tabs>
        <w:ind w:left="700" w:hanging="375"/>
      </w:pPr>
      <w:r w:rsidRPr="00D15774">
        <w:t>○</w:t>
      </w:r>
      <w:r w:rsidRPr="00D15774">
        <w:tab/>
        <w:t xml:space="preserve">Certifying compliance – Each permit applicant must certify that all other facilities owned or operated by the applicant in the same state as the new or modified source are in compliance with all applicable air quality regulations.  </w:t>
      </w:r>
    </w:p>
    <w:p w:rsidR="00042617" w:rsidRPr="00D15774" w:rsidRDefault="00042617">
      <w:pPr>
        <w:widowControl w:val="0"/>
        <w:tabs>
          <w:tab w:val="left" w:pos="325"/>
          <w:tab w:val="left" w:pos="700"/>
          <w:tab w:val="left" w:pos="1090"/>
        </w:tabs>
      </w:pPr>
    </w:p>
    <w:p w:rsidR="00042617" w:rsidRPr="00D15774" w:rsidRDefault="00042617" w:rsidP="00C759C8">
      <w:pPr>
        <w:widowControl w:val="0"/>
        <w:tabs>
          <w:tab w:val="left" w:pos="90"/>
          <w:tab w:val="left" w:pos="325"/>
          <w:tab w:val="left" w:pos="700"/>
          <w:tab w:val="left" w:pos="1090"/>
        </w:tabs>
        <w:ind w:left="-360"/>
      </w:pPr>
      <w:r w:rsidRPr="00D15774">
        <w:t xml:space="preserve">These requirements are the same as the requirements that apply in states for areas that do not have a State Implementation Plan (SIP) for implementing certain NSR provisions, the transitional NSR program commonly known as “Appendix S.”  </w:t>
      </w:r>
    </w:p>
    <w:p w:rsidR="00042617" w:rsidRPr="00D15774" w:rsidRDefault="00042617" w:rsidP="000B0BB8">
      <w:pPr>
        <w:pStyle w:val="Heading2"/>
        <w:rPr>
          <w:rFonts w:ascii="Times New Roman" w:hAnsi="Times New Roman" w:cs="Times New Roman"/>
        </w:rPr>
      </w:pPr>
    </w:p>
    <w:p w:rsidR="00042617" w:rsidRPr="00D15774" w:rsidRDefault="00042617" w:rsidP="000B0BB8">
      <w:pPr>
        <w:pStyle w:val="Heading2"/>
        <w:rPr>
          <w:rFonts w:ascii="Times New Roman" w:hAnsi="Times New Roman" w:cs="Times New Roman"/>
          <w:color w:val="auto"/>
        </w:rPr>
      </w:pPr>
      <w:bookmarkStart w:id="18" w:name="_Toc369086985"/>
      <w:r w:rsidRPr="00D15774">
        <w:rPr>
          <w:rFonts w:ascii="Times New Roman" w:hAnsi="Times New Roman" w:cs="Times New Roman"/>
          <w:b/>
          <w:color w:val="auto"/>
          <w:u w:val="single"/>
        </w:rPr>
        <w:t>Implementation</w:t>
      </w:r>
      <w:bookmarkEnd w:id="18"/>
      <w:r w:rsidR="00E21C92" w:rsidRPr="00D15774">
        <w:rPr>
          <w:rFonts w:ascii="Times New Roman" w:hAnsi="Times New Roman" w:cs="Times New Roman"/>
          <w:color w:val="auto"/>
        </w:rPr>
        <w:fldChar w:fldCharType="begin"/>
      </w:r>
      <w:r w:rsidRPr="00D15774">
        <w:rPr>
          <w:rFonts w:ascii="Times New Roman" w:hAnsi="Times New Roman" w:cs="Times New Roman"/>
          <w:b/>
          <w:color w:val="auto"/>
          <w:u w:val="single"/>
        </w:rPr>
        <w:instrText xml:space="preserve"> TC \l2 "</w:instrText>
      </w:r>
      <w:bookmarkStart w:id="19" w:name="_Toc363192312"/>
      <w:r w:rsidRPr="00D15774">
        <w:rPr>
          <w:rFonts w:ascii="Times New Roman" w:hAnsi="Times New Roman" w:cs="Times New Roman"/>
          <w:b/>
          <w:color w:val="auto"/>
          <w:u w:val="single"/>
        </w:rPr>
        <w:instrText>Implementation</w:instrText>
      </w:r>
      <w:bookmarkEnd w:id="19"/>
      <w:r w:rsidR="00E21C92" w:rsidRPr="00D15774">
        <w:rPr>
          <w:rFonts w:ascii="Times New Roman" w:hAnsi="Times New Roman" w:cs="Times New Roman"/>
          <w:color w:val="auto"/>
        </w:rPr>
        <w:fldChar w:fldCharType="end"/>
      </w:r>
    </w:p>
    <w:p w:rsidR="00042617" w:rsidRPr="00D15774" w:rsidRDefault="00042617">
      <w:pPr>
        <w:widowControl w:val="0"/>
        <w:tabs>
          <w:tab w:val="left" w:pos="325"/>
          <w:tab w:val="left" w:pos="700"/>
          <w:tab w:val="left" w:pos="1090"/>
        </w:tabs>
      </w:pPr>
    </w:p>
    <w:p w:rsidR="00042617" w:rsidRPr="00D15774" w:rsidRDefault="00042617" w:rsidP="00C759C8">
      <w:pPr>
        <w:widowControl w:val="0"/>
        <w:tabs>
          <w:tab w:val="left" w:pos="325"/>
          <w:tab w:val="left" w:pos="700"/>
          <w:tab w:val="left" w:pos="1090"/>
        </w:tabs>
        <w:ind w:left="-360"/>
      </w:pPr>
      <w:r w:rsidRPr="00D15774">
        <w:t xml:space="preserve">Initial implementation, training and technical assistance </w:t>
      </w:r>
      <w:r w:rsidR="009E46B0" w:rsidRPr="00D15774">
        <w:t>is</w:t>
      </w:r>
      <w:r w:rsidR="00F343E2" w:rsidRPr="00D15774">
        <w:t xml:space="preserve"> guided by EPA in close </w:t>
      </w:r>
      <w:r w:rsidRPr="00D15774">
        <w:t xml:space="preserve">collaboration with tribes.  EPA Regions </w:t>
      </w:r>
      <w:r w:rsidR="009E46B0" w:rsidRPr="00D15774">
        <w:t>are</w:t>
      </w:r>
      <w:r w:rsidRPr="00D15774">
        <w:t xml:space="preserve"> primarily responsible for implementing this rule until a tribe requests delegation of the </w:t>
      </w:r>
      <w:r w:rsidR="00956808" w:rsidRPr="00D15774">
        <w:t>federal</w:t>
      </w:r>
      <w:r w:rsidRPr="00D15774">
        <w:t xml:space="preserve"> program or until a tribe develops and gets approval of a Tribal Implementati</w:t>
      </w:r>
      <w:r w:rsidR="00F343E2" w:rsidRPr="00D15774">
        <w:t>on Plan to run these programs.</w:t>
      </w:r>
    </w:p>
    <w:p w:rsidR="00F343E2" w:rsidRPr="00D15774" w:rsidRDefault="00F343E2">
      <w:pPr>
        <w:widowControl w:val="0"/>
        <w:tabs>
          <w:tab w:val="left" w:pos="325"/>
          <w:tab w:val="left" w:pos="700"/>
          <w:tab w:val="left" w:pos="1090"/>
        </w:tabs>
      </w:pPr>
    </w:p>
    <w:p w:rsidR="00042617" w:rsidRPr="00D15774" w:rsidRDefault="00042617" w:rsidP="00C759C8">
      <w:pPr>
        <w:widowControl w:val="0"/>
        <w:tabs>
          <w:tab w:val="left" w:pos="325"/>
          <w:tab w:val="left" w:pos="700"/>
          <w:tab w:val="left" w:pos="1090"/>
        </w:tabs>
        <w:ind w:left="-360"/>
      </w:pPr>
      <w:r w:rsidRPr="00D15774">
        <w:t>The implementation of t</w:t>
      </w:r>
      <w:r w:rsidR="00616050" w:rsidRPr="00D15774">
        <w:t>he minor NSR rule is</w:t>
      </w:r>
      <w:r w:rsidRPr="00D15774">
        <w:t xml:space="preserve"> phased in ove</w:t>
      </w:r>
      <w:r w:rsidR="00381C28" w:rsidRPr="00D15774">
        <w:t>r 36 months, giving sources and</w:t>
      </w:r>
      <w:r w:rsidRPr="00D15774">
        <w:t xml:space="preserve"> EPA Regional Offices time to prepare:</w:t>
      </w:r>
    </w:p>
    <w:p w:rsidR="00042617" w:rsidRPr="00D15774" w:rsidRDefault="00042617">
      <w:pPr>
        <w:widowControl w:val="0"/>
        <w:tabs>
          <w:tab w:val="left" w:pos="325"/>
          <w:tab w:val="left" w:pos="700"/>
          <w:tab w:val="left" w:pos="1090"/>
        </w:tabs>
      </w:pPr>
      <w:r w:rsidRPr="00D15774">
        <w:t xml:space="preserve"> </w:t>
      </w:r>
    </w:p>
    <w:p w:rsidR="00042617" w:rsidRPr="00D15774" w:rsidRDefault="00042617">
      <w:pPr>
        <w:widowControl w:val="0"/>
        <w:tabs>
          <w:tab w:val="left" w:pos="325"/>
          <w:tab w:val="left" w:pos="700"/>
          <w:tab w:val="left" w:pos="1090"/>
        </w:tabs>
        <w:ind w:left="700" w:hanging="375"/>
      </w:pPr>
      <w:r w:rsidRPr="00D15774">
        <w:t>○</w:t>
      </w:r>
      <w:r w:rsidRPr="00D15774">
        <w:tab/>
        <w:t xml:space="preserve">New and modified synthetic minor sources and minor modifications at major sources </w:t>
      </w:r>
      <w:r w:rsidR="00616050" w:rsidRPr="00D15774">
        <w:t>are</w:t>
      </w:r>
      <w:r w:rsidRPr="00D15774">
        <w:t xml:space="preserve"> subject to the rule requirements on the rule</w:t>
      </w:r>
      <w:r w:rsidR="00CA34B5" w:rsidRPr="00D15774">
        <w:t>’</w:t>
      </w:r>
      <w:r w:rsidRPr="00D15774">
        <w:t xml:space="preserve">s effective </w:t>
      </w:r>
      <w:r w:rsidR="00616050" w:rsidRPr="00D15774">
        <w:t>date (August 30, 2011)</w:t>
      </w:r>
      <w:r w:rsidRPr="00D15774">
        <w:t xml:space="preserve">; and </w:t>
      </w:r>
    </w:p>
    <w:p w:rsidR="00042617" w:rsidRPr="00D15774" w:rsidRDefault="00042617">
      <w:pPr>
        <w:widowControl w:val="0"/>
        <w:tabs>
          <w:tab w:val="left" w:pos="325"/>
          <w:tab w:val="left" w:pos="700"/>
          <w:tab w:val="left" w:pos="1090"/>
        </w:tabs>
        <w:ind w:left="700" w:hanging="375"/>
      </w:pPr>
      <w:r w:rsidRPr="00D15774">
        <w:t>○</w:t>
      </w:r>
      <w:r w:rsidRPr="00D15774">
        <w:tab/>
        <w:t>True minor source</w:t>
      </w:r>
      <w:r w:rsidR="009E46B0" w:rsidRPr="00D15774">
        <w:t xml:space="preserve"> are su</w:t>
      </w:r>
      <w:r w:rsidRPr="00D15774">
        <w:t>bject to the rule requirements 36 months after the rule</w:t>
      </w:r>
      <w:r w:rsidR="00CA34B5" w:rsidRPr="00D15774">
        <w:t>’</w:t>
      </w:r>
      <w:r w:rsidRPr="00D15774">
        <w:t>s effective dat</w:t>
      </w:r>
      <w:r w:rsidR="0002792F" w:rsidRPr="00D15774">
        <w:t>e (August 30, 2011)</w:t>
      </w:r>
      <w:r w:rsidRPr="00D15774">
        <w:t xml:space="preserve"> or 6 months after a general permit for a source category is published, whichever is earlier. </w:t>
      </w:r>
    </w:p>
    <w:p w:rsidR="00042617" w:rsidRPr="00D15774" w:rsidRDefault="00042617">
      <w:pPr>
        <w:widowControl w:val="0"/>
        <w:tabs>
          <w:tab w:val="left" w:pos="325"/>
          <w:tab w:val="left" w:pos="700"/>
          <w:tab w:val="left" w:pos="1090"/>
        </w:tabs>
      </w:pPr>
    </w:p>
    <w:p w:rsidR="00917D2C" w:rsidRPr="00D15774" w:rsidRDefault="00917D2C" w:rsidP="00C759C8">
      <w:pPr>
        <w:widowControl w:val="0"/>
        <w:tabs>
          <w:tab w:val="left" w:pos="325"/>
          <w:tab w:val="left" w:pos="700"/>
          <w:tab w:val="left" w:pos="1090"/>
        </w:tabs>
        <w:ind w:left="-360"/>
      </w:pPr>
      <w:r w:rsidRPr="00D15774">
        <w:rPr>
          <w:szCs w:val="24"/>
          <w:lang w:val="en-CA"/>
        </w:rPr>
        <w:fldChar w:fldCharType="begin"/>
      </w:r>
      <w:r w:rsidRPr="00D15774">
        <w:rPr>
          <w:szCs w:val="24"/>
          <w:lang w:val="en-CA"/>
        </w:rPr>
        <w:instrText xml:space="preserve"> SEQ CHAPTER \h \r 1</w:instrText>
      </w:r>
      <w:r w:rsidRPr="00D15774">
        <w:rPr>
          <w:szCs w:val="24"/>
          <w:lang w:val="en-CA"/>
        </w:rPr>
        <w:fldChar w:fldCharType="end"/>
      </w:r>
      <w:r w:rsidRPr="00D15774">
        <w:rPr>
          <w:szCs w:val="24"/>
        </w:rPr>
        <w:t xml:space="preserve">The Final Rule for </w:t>
      </w:r>
      <w:r w:rsidRPr="00D15774">
        <w:rPr>
          <w:bCs/>
          <w:iCs/>
          <w:szCs w:val="24"/>
        </w:rPr>
        <w:t>“REVIEW OF NEW SOURCES AND MODIFICATIONS IN INDIAN COUNTRY”</w:t>
      </w:r>
      <w:r w:rsidRPr="00D15774">
        <w:rPr>
          <w:szCs w:val="24"/>
        </w:rPr>
        <w:t xml:space="preserve"> was</w:t>
      </w:r>
      <w:r w:rsidR="0002792F" w:rsidRPr="00D15774">
        <w:rPr>
          <w:szCs w:val="24"/>
        </w:rPr>
        <w:t xml:space="preserve"> published in the</w:t>
      </w:r>
      <w:r w:rsidRPr="00D15774">
        <w:rPr>
          <w:szCs w:val="24"/>
        </w:rPr>
        <w:t xml:space="preserve"> </w:t>
      </w:r>
      <w:r w:rsidR="0002792F" w:rsidRPr="00D15774">
        <w:rPr>
          <w:szCs w:val="24"/>
        </w:rPr>
        <w:t>Federal Register on</w:t>
      </w:r>
      <w:r w:rsidRPr="00D15774">
        <w:rPr>
          <w:szCs w:val="24"/>
        </w:rPr>
        <w:t xml:space="preserve"> July 1, 2011, and gives the “Effective Date” </w:t>
      </w:r>
      <w:r w:rsidRPr="00D15774">
        <w:rPr>
          <w:szCs w:val="24"/>
        </w:rPr>
        <w:lastRenderedPageBreak/>
        <w:t>for the Final Rule as 60 days after FR publication (August 30, 2011).</w:t>
      </w:r>
    </w:p>
    <w:p w:rsidR="00917D2C" w:rsidRPr="00D15774" w:rsidRDefault="00917D2C">
      <w:pPr>
        <w:widowControl w:val="0"/>
        <w:tabs>
          <w:tab w:val="left" w:pos="325"/>
          <w:tab w:val="left" w:pos="700"/>
          <w:tab w:val="left" w:pos="1090"/>
        </w:tabs>
      </w:pPr>
    </w:p>
    <w:p w:rsidR="00EF36EA" w:rsidRPr="00D15774" w:rsidRDefault="00042617" w:rsidP="00EF36EA">
      <w:pPr>
        <w:widowControl w:val="0"/>
        <w:tabs>
          <w:tab w:val="left" w:pos="325"/>
          <w:tab w:val="left" w:pos="700"/>
          <w:tab w:val="left" w:pos="1090"/>
        </w:tabs>
        <w:ind w:left="-360"/>
      </w:pPr>
      <w:r w:rsidRPr="00D15774">
        <w:t>The phased implementation allow</w:t>
      </w:r>
      <w:r w:rsidR="004C07BC" w:rsidRPr="00D15774">
        <w:t>ed</w:t>
      </w:r>
      <w:r w:rsidRPr="00D15774">
        <w:t xml:space="preserve"> EPA headquarters, regions a</w:t>
      </w:r>
      <w:r w:rsidR="00F343E2" w:rsidRPr="00D15774">
        <w:t xml:space="preserve">nd tribes to focus on capacity </w:t>
      </w:r>
      <w:r w:rsidRPr="00D15774">
        <w:t>building, outreach and education about the permitting requirements.  EPA headquarters and regions will work closely together to identify adequate resources to meet an</w:t>
      </w:r>
      <w:r w:rsidR="00944DDA" w:rsidRPr="00D15774">
        <w:t>y increase in permitting needs.</w:t>
      </w:r>
    </w:p>
    <w:p w:rsidR="00EF36EA" w:rsidRPr="00D15774" w:rsidRDefault="00EF36EA" w:rsidP="00EF36EA">
      <w:pPr>
        <w:widowControl w:val="0"/>
        <w:tabs>
          <w:tab w:val="left" w:pos="325"/>
          <w:tab w:val="left" w:pos="700"/>
          <w:tab w:val="left" w:pos="1090"/>
        </w:tabs>
        <w:ind w:left="-360"/>
      </w:pPr>
    </w:p>
    <w:p w:rsidR="00042617" w:rsidRPr="00DA30CA" w:rsidRDefault="00950BD4" w:rsidP="00DA30CA">
      <w:pPr>
        <w:pStyle w:val="Heading1"/>
        <w:ind w:left="-360"/>
        <w:rPr>
          <w:b/>
          <w:color w:val="auto"/>
          <w:sz w:val="28"/>
          <w:szCs w:val="28"/>
        </w:rPr>
      </w:pPr>
      <w:bookmarkStart w:id="20" w:name="_Toc369086986"/>
      <w:r w:rsidRPr="00DA30CA">
        <w:rPr>
          <w:b/>
          <w:color w:val="auto"/>
          <w:sz w:val="28"/>
          <w:szCs w:val="28"/>
        </w:rPr>
        <w:t xml:space="preserve">2.  </w:t>
      </w:r>
      <w:r w:rsidR="00FF4A40" w:rsidRPr="00DA30CA">
        <w:rPr>
          <w:b/>
          <w:color w:val="auto"/>
          <w:sz w:val="28"/>
          <w:szCs w:val="28"/>
        </w:rPr>
        <w:t xml:space="preserve">REVIEW OF </w:t>
      </w:r>
      <w:r w:rsidR="00042617" w:rsidRPr="00DA30CA">
        <w:rPr>
          <w:b/>
          <w:color w:val="auto"/>
          <w:sz w:val="28"/>
          <w:szCs w:val="28"/>
        </w:rPr>
        <w:t>EPA OIL AND NATURAL GAS AIR REGULATIONS</w:t>
      </w:r>
      <w:bookmarkEnd w:id="20"/>
      <w:r w:rsidR="00E21C92" w:rsidRPr="00DA30CA">
        <w:rPr>
          <w:b/>
          <w:color w:val="auto"/>
          <w:sz w:val="28"/>
          <w:szCs w:val="28"/>
        </w:rPr>
        <w:fldChar w:fldCharType="begin"/>
      </w:r>
      <w:r w:rsidR="00042617" w:rsidRPr="00DA30CA">
        <w:rPr>
          <w:b/>
          <w:color w:val="auto"/>
          <w:sz w:val="28"/>
          <w:szCs w:val="28"/>
        </w:rPr>
        <w:instrText xml:space="preserve"> TC \l1 "</w:instrText>
      </w:r>
      <w:bookmarkStart w:id="21" w:name="_Toc363192313"/>
      <w:r w:rsidR="00042617" w:rsidRPr="00DA30CA">
        <w:rPr>
          <w:b/>
          <w:color w:val="auto"/>
          <w:sz w:val="28"/>
          <w:szCs w:val="28"/>
        </w:rPr>
        <w:instrText>2.  RECENTLY PROPOSED FEDERAL RULES:  EPA PROPOSED OIL AND NATURAL GAS AIR REGULATIONS</w:instrText>
      </w:r>
      <w:bookmarkEnd w:id="21"/>
      <w:r w:rsidR="00E21C92" w:rsidRPr="00DA30CA">
        <w:rPr>
          <w:b/>
          <w:color w:val="auto"/>
          <w:sz w:val="28"/>
          <w:szCs w:val="28"/>
        </w:rPr>
        <w:fldChar w:fldCharType="end"/>
      </w:r>
    </w:p>
    <w:p w:rsidR="00042617" w:rsidRPr="00D15774" w:rsidRDefault="00042617" w:rsidP="000B0BB8">
      <w:pPr>
        <w:pStyle w:val="Heading2"/>
        <w:rPr>
          <w:rFonts w:ascii="Times New Roman" w:hAnsi="Times New Roman" w:cs="Times New Roman"/>
        </w:rPr>
      </w:pPr>
    </w:p>
    <w:p w:rsidR="00042617" w:rsidRPr="00D15774" w:rsidRDefault="00042617" w:rsidP="000B0BB8">
      <w:pPr>
        <w:pStyle w:val="Heading2"/>
        <w:rPr>
          <w:rFonts w:ascii="Times New Roman" w:hAnsi="Times New Roman" w:cs="Times New Roman"/>
        </w:rPr>
      </w:pPr>
      <w:bookmarkStart w:id="22" w:name="_Toc369086987"/>
      <w:r w:rsidRPr="00D15774">
        <w:rPr>
          <w:rFonts w:ascii="Times New Roman" w:hAnsi="Times New Roman" w:cs="Times New Roman"/>
          <w:b/>
          <w:color w:val="auto"/>
          <w:u w:val="single"/>
        </w:rPr>
        <w:t>Background and Overview of Action</w:t>
      </w:r>
      <w:bookmarkEnd w:id="22"/>
      <w:r w:rsidR="00E21C92" w:rsidRPr="00D15774">
        <w:rPr>
          <w:rFonts w:ascii="Times New Roman" w:hAnsi="Times New Roman" w:cs="Times New Roman"/>
        </w:rPr>
        <w:fldChar w:fldCharType="begin"/>
      </w:r>
      <w:r w:rsidRPr="00D15774">
        <w:rPr>
          <w:rFonts w:ascii="Times New Roman" w:hAnsi="Times New Roman" w:cs="Times New Roman"/>
          <w:b/>
          <w:u w:val="single"/>
        </w:rPr>
        <w:instrText xml:space="preserve"> TC \l2 "</w:instrText>
      </w:r>
      <w:bookmarkStart w:id="23" w:name="_Toc363192314"/>
      <w:r w:rsidRPr="00D15774">
        <w:rPr>
          <w:rFonts w:ascii="Times New Roman" w:hAnsi="Times New Roman" w:cs="Times New Roman"/>
          <w:b/>
          <w:u w:val="single"/>
        </w:rPr>
        <w:instrText>Background and Overview of Action</w:instrText>
      </w:r>
      <w:bookmarkEnd w:id="23"/>
      <w:r w:rsidR="00E21C92" w:rsidRPr="00D15774">
        <w:rPr>
          <w:rFonts w:ascii="Times New Roman" w:hAnsi="Times New Roman" w:cs="Times New Roman"/>
        </w:rPr>
        <w:fldChar w:fldCharType="end"/>
      </w:r>
    </w:p>
    <w:p w:rsidR="009E46B0" w:rsidRPr="00D15774" w:rsidRDefault="009E46B0">
      <w:pPr>
        <w:keepLines/>
        <w:widowControl w:val="0"/>
        <w:tabs>
          <w:tab w:val="left" w:pos="325"/>
          <w:tab w:val="left" w:pos="700"/>
          <w:tab w:val="left" w:pos="1090"/>
        </w:tabs>
      </w:pPr>
    </w:p>
    <w:p w:rsidR="00042617" w:rsidRPr="00D15774" w:rsidRDefault="00042617" w:rsidP="00C759C8">
      <w:pPr>
        <w:keepLines/>
        <w:widowControl w:val="0"/>
        <w:tabs>
          <w:tab w:val="left" w:pos="325"/>
          <w:tab w:val="left" w:pos="700"/>
          <w:tab w:val="left" w:pos="1090"/>
        </w:tabs>
        <w:ind w:left="-360"/>
      </w:pPr>
      <w:r w:rsidRPr="00D15774">
        <w:t>The Clean Air Act requires EPA to periodically review their rules.  In the case of New Source Performance Standards (NSPS) they must review the rules every eight years</w:t>
      </w:r>
      <w:r w:rsidR="00F5126F" w:rsidRPr="00D15774">
        <w:t>.  F</w:t>
      </w:r>
      <w:r w:rsidRPr="00D15774">
        <w:t>or a National Emissions Standard for Hazardous Air Pollutants (NESHAP</w:t>
      </w:r>
      <w:r w:rsidR="0007546A" w:rsidRPr="00D15774">
        <w:t>s</w:t>
      </w:r>
      <w:r w:rsidRPr="00D15774">
        <w:t>) rule a residual risk assessment</w:t>
      </w:r>
      <w:r w:rsidR="00F5126F" w:rsidRPr="00D15774">
        <w:t xml:space="preserve"> must be conducted one time, ei</w:t>
      </w:r>
      <w:r w:rsidRPr="00D15774">
        <w:t>ght years after a standard is issued, to determine what risks rema</w:t>
      </w:r>
      <w:r w:rsidR="00F5126F" w:rsidRPr="00D15774">
        <w:t>in</w:t>
      </w:r>
      <w:r w:rsidRPr="00D15774">
        <w:t>, and whether more protective standards are necessary to protect public health.  Then a technology review must be co</w:t>
      </w:r>
      <w:r w:rsidR="00381C28" w:rsidRPr="00D15774">
        <w:t xml:space="preserve">nducted every eight years after </w:t>
      </w:r>
      <w:r w:rsidR="00F720A5" w:rsidRPr="00D15774">
        <w:t>the</w:t>
      </w:r>
      <w:r w:rsidRPr="00D15774">
        <w:t xml:space="preserve"> air toxics standard is issued to determine if new and better emission control practices, processes or technologies have become generally available or cost effective such that it would warrant revising the standard. </w:t>
      </w:r>
    </w:p>
    <w:p w:rsidR="00042617" w:rsidRPr="00D15774" w:rsidRDefault="00042617">
      <w:pPr>
        <w:widowControl w:val="0"/>
        <w:tabs>
          <w:tab w:val="left" w:pos="325"/>
          <w:tab w:val="left" w:pos="700"/>
          <w:tab w:val="left" w:pos="1090"/>
        </w:tabs>
      </w:pPr>
    </w:p>
    <w:p w:rsidR="00042617" w:rsidRPr="00D15774" w:rsidRDefault="00731263" w:rsidP="00C759C8">
      <w:pPr>
        <w:widowControl w:val="0"/>
        <w:tabs>
          <w:tab w:val="left" w:pos="325"/>
          <w:tab w:val="left" w:pos="700"/>
          <w:tab w:val="left" w:pos="1090"/>
        </w:tabs>
        <w:ind w:left="-360"/>
      </w:pPr>
      <w:r w:rsidRPr="00D15774">
        <w:t>In J</w:t>
      </w:r>
      <w:r w:rsidR="00042617" w:rsidRPr="00D15774">
        <w:t>anuary 2009, WildEarth Guardians and the San Juan Citizens Alliance sued EPA, alleging that the Agency had failed to review the NSPS and NESHAPS for the oil and natural gas industry on this mandated schedule.  In February 2010, the U.S. Court of Appeals for the D.C. Circuit entered a consent decree that require</w:t>
      </w:r>
      <w:r w:rsidR="00944DDA" w:rsidRPr="00D15774">
        <w:t>d</w:t>
      </w:r>
      <w:r w:rsidR="00042617" w:rsidRPr="00D15774">
        <w:t xml:space="preserve"> EPA to sign proposals related to the review of these standards.  Under the ruling EPA </w:t>
      </w:r>
      <w:r w:rsidR="00F00522" w:rsidRPr="00D15774">
        <w:t>was required to</w:t>
      </w:r>
      <w:r w:rsidR="00042617" w:rsidRPr="00D15774">
        <w:t xml:space="preserve"> have signed the proposal by July 28, 2011</w:t>
      </w:r>
      <w:r w:rsidR="00291D4F" w:rsidRPr="00D15774">
        <w:t xml:space="preserve">.  They were to issue </w:t>
      </w:r>
      <w:r w:rsidR="00042617" w:rsidRPr="00D15774">
        <w:t xml:space="preserve">final standards by </w:t>
      </w:r>
      <w:r w:rsidR="00291D4F" w:rsidRPr="00D15774">
        <w:t xml:space="preserve">the end of </w:t>
      </w:r>
      <w:r w:rsidR="00042617" w:rsidRPr="00D15774">
        <w:t>February 2012</w:t>
      </w:r>
      <w:r w:rsidR="00291D4F" w:rsidRPr="00D15774">
        <w:t xml:space="preserve">, but EPA </w:t>
      </w:r>
      <w:r w:rsidR="00917D2C" w:rsidRPr="00D15774">
        <w:t xml:space="preserve">eventually </w:t>
      </w:r>
      <w:r w:rsidR="00291D4F" w:rsidRPr="00D15774">
        <w:t>pushed that deadline back until April</w:t>
      </w:r>
      <w:r w:rsidR="00917D2C" w:rsidRPr="00D15774">
        <w:t xml:space="preserve"> of</w:t>
      </w:r>
      <w:r w:rsidR="00291D4F" w:rsidRPr="00D15774">
        <w:t xml:space="preserve"> 2012</w:t>
      </w:r>
      <w:r w:rsidR="00042617" w:rsidRPr="00D15774">
        <w:t>.</w:t>
      </w:r>
    </w:p>
    <w:p w:rsidR="00042617" w:rsidRPr="00D15774" w:rsidRDefault="00042617">
      <w:pPr>
        <w:widowControl w:val="0"/>
        <w:tabs>
          <w:tab w:val="left" w:pos="325"/>
          <w:tab w:val="left" w:pos="700"/>
          <w:tab w:val="left" w:pos="1090"/>
        </w:tabs>
      </w:pPr>
    </w:p>
    <w:p w:rsidR="00917D2C" w:rsidRPr="00D15774" w:rsidRDefault="00042617" w:rsidP="00C759C8">
      <w:pPr>
        <w:widowControl w:val="0"/>
        <w:tabs>
          <w:tab w:val="left" w:pos="325"/>
          <w:tab w:val="left" w:pos="700"/>
          <w:tab w:val="left" w:pos="1090"/>
        </w:tabs>
        <w:ind w:left="-360"/>
      </w:pPr>
      <w:r w:rsidRPr="00D15774">
        <w:t xml:space="preserve">Accordingly, on July 28, 2011 the U.S. </w:t>
      </w:r>
      <w:r w:rsidR="0099797E" w:rsidRPr="00D15774">
        <w:t>E</w:t>
      </w:r>
      <w:r w:rsidR="00B00294" w:rsidRPr="00D15774">
        <w:t>nviron</w:t>
      </w:r>
      <w:r w:rsidRPr="00D15774">
        <w:t>mental Protection Agency proposed a suite of four air regulations for the oil and natural gas industry: 1) a New Source Performance Standard (NSPS</w:t>
      </w:r>
      <w:r w:rsidR="00F00522" w:rsidRPr="00D15774">
        <w:t xml:space="preserve"> Subpart OOOO</w:t>
      </w:r>
      <w:r w:rsidRPr="00D15774">
        <w:t>) for VOC’s; 2) a New Source Performance Standard (NSPS</w:t>
      </w:r>
      <w:r w:rsidR="00F00522" w:rsidRPr="00D15774">
        <w:t xml:space="preserve"> Subpart OOOO</w:t>
      </w:r>
      <w:r w:rsidRPr="00D15774">
        <w:t>) for sulfur dioxide; 3) a National Emissions Standard for Hazardous Air Pollutants (NESHAP</w:t>
      </w:r>
      <w:r w:rsidR="00F00522" w:rsidRPr="00D15774">
        <w:t xml:space="preserve"> Subpart HH</w:t>
      </w:r>
      <w:r w:rsidRPr="00D15774">
        <w:t>) standard for oil and natural gas production; and 4) a National Emissions Standard for Hazardous Air Pollutants (NESHAP</w:t>
      </w:r>
      <w:r w:rsidR="00F00522" w:rsidRPr="00D15774">
        <w:t xml:space="preserve"> Subpart HHH</w:t>
      </w:r>
      <w:r w:rsidRPr="00D15774">
        <w:t>) standard for natural gas transmission and storage</w:t>
      </w:r>
      <w:r w:rsidR="00917D2C" w:rsidRPr="00D15774">
        <w:t>.</w:t>
      </w:r>
    </w:p>
    <w:p w:rsidR="00917D2C" w:rsidRPr="00D15774" w:rsidRDefault="00917D2C" w:rsidP="00917D2C">
      <w:pPr>
        <w:widowControl w:val="0"/>
        <w:tabs>
          <w:tab w:val="left" w:pos="325"/>
          <w:tab w:val="left" w:pos="700"/>
          <w:tab w:val="left" w:pos="1090"/>
        </w:tabs>
      </w:pPr>
    </w:p>
    <w:p w:rsidR="00731263" w:rsidRPr="00D15774" w:rsidRDefault="00917D2C" w:rsidP="00C759C8">
      <w:pPr>
        <w:pStyle w:val="Default"/>
        <w:ind w:left="-360"/>
        <w:rPr>
          <w:rFonts w:ascii="Times New Roman" w:hAnsi="Times New Roman" w:cs="Times New Roman"/>
        </w:rPr>
      </w:pPr>
      <w:r w:rsidRPr="00D15774">
        <w:rPr>
          <w:rFonts w:ascii="Times New Roman" w:hAnsi="Times New Roman" w:cs="Times New Roman"/>
        </w:rPr>
        <w:t xml:space="preserve">The EPA proposed the rules on July 28, 2011, and was still taking comment on the rules when the initial 2011 </w:t>
      </w:r>
      <w:r w:rsidR="0002792F" w:rsidRPr="00D15774">
        <w:rPr>
          <w:rFonts w:ascii="Times New Roman" w:hAnsi="Times New Roman" w:cs="Times New Roman"/>
        </w:rPr>
        <w:t xml:space="preserve">version of this </w:t>
      </w:r>
      <w:r w:rsidRPr="00D15774">
        <w:rPr>
          <w:rFonts w:ascii="Times New Roman" w:hAnsi="Times New Roman" w:cs="Times New Roman"/>
        </w:rPr>
        <w:t xml:space="preserve">WRAP analysis was released.  </w:t>
      </w:r>
      <w:r w:rsidR="00F5126F" w:rsidRPr="00D15774">
        <w:rPr>
          <w:rFonts w:ascii="Times New Roman" w:hAnsi="Times New Roman" w:cs="Times New Roman"/>
        </w:rPr>
        <w:t>The EPA eventually finalized these O&amp;G regulations on April 17, 2012.  The Final Rule was published in the Federal Register on August 16, 2012, and provided an “Effective Date” for implementing the rules of October 15, 2012 (60 days after FR publication).</w:t>
      </w:r>
    </w:p>
    <w:p w:rsidR="00731263" w:rsidRPr="00D15774" w:rsidRDefault="00731263" w:rsidP="00731263">
      <w:pPr>
        <w:pStyle w:val="Default"/>
        <w:rPr>
          <w:rFonts w:ascii="Times New Roman" w:hAnsi="Times New Roman" w:cs="Times New Roman"/>
        </w:rPr>
      </w:pPr>
    </w:p>
    <w:p w:rsidR="00CE1E5F" w:rsidRPr="00D15774" w:rsidRDefault="00731263" w:rsidP="00CE1E5F">
      <w:pPr>
        <w:pStyle w:val="Default"/>
        <w:ind w:left="-360"/>
        <w:rPr>
          <w:rFonts w:ascii="Times New Roman" w:hAnsi="Times New Roman" w:cs="Times New Roman"/>
        </w:rPr>
      </w:pPr>
      <w:r w:rsidRPr="00D15774">
        <w:rPr>
          <w:rFonts w:ascii="Times New Roman" w:hAnsi="Times New Roman" w:cs="Times New Roman"/>
        </w:rPr>
        <w:lastRenderedPageBreak/>
        <w:t xml:space="preserve">After issuance of the 2012 Final O&amp;G Rule the EPA received several administrative petitions for reconsideration and responded to the petitions by revising portions of the NSPS.  The amendments dealt solely with storage tanks used to store crude oil, condensate, unrefined petroleum liquids </w:t>
      </w:r>
      <w:r w:rsidR="007A5862" w:rsidRPr="00D15774">
        <w:rPr>
          <w:rFonts w:ascii="Times New Roman" w:hAnsi="Times New Roman" w:cs="Times New Roman"/>
        </w:rPr>
        <w:t>(</w:t>
      </w:r>
      <w:r w:rsidRPr="00D15774">
        <w:rPr>
          <w:rFonts w:ascii="Times New Roman" w:hAnsi="Times New Roman" w:cs="Times New Roman"/>
        </w:rPr>
        <w:t>known as “intermediate hydrocarbon liquids”</w:t>
      </w:r>
      <w:r w:rsidR="001B1D1D" w:rsidRPr="00D15774">
        <w:rPr>
          <w:rFonts w:ascii="Times New Roman" w:hAnsi="Times New Roman" w:cs="Times New Roman"/>
        </w:rPr>
        <w:t>)</w:t>
      </w:r>
      <w:r w:rsidRPr="00D15774">
        <w:rPr>
          <w:rFonts w:ascii="Times New Roman" w:hAnsi="Times New Roman" w:cs="Times New Roman"/>
        </w:rPr>
        <w:t xml:space="preserve"> or produced water.  On August. 2, 2013 EPA updated its 2012 performance standards for VOC emissions from these storage tanks used in the O&amp;G production industry.  </w:t>
      </w:r>
      <w:r w:rsidR="00CE1E5F" w:rsidRPr="00D15774">
        <w:rPr>
          <w:rFonts w:ascii="Times New Roman" w:hAnsi="Times New Roman" w:cs="Times New Roman"/>
        </w:rPr>
        <w:t>T</w:t>
      </w:r>
      <w:r w:rsidRPr="00D15774">
        <w:rPr>
          <w:rFonts w:ascii="Times New Roman" w:hAnsi="Times New Roman" w:cs="Times New Roman"/>
        </w:rPr>
        <w:t>he EPA publish</w:t>
      </w:r>
      <w:r w:rsidR="00CE1E5F" w:rsidRPr="00D15774">
        <w:rPr>
          <w:rFonts w:ascii="Times New Roman" w:hAnsi="Times New Roman" w:cs="Times New Roman"/>
        </w:rPr>
        <w:t>ed</w:t>
      </w:r>
      <w:r w:rsidRPr="00D15774">
        <w:rPr>
          <w:rFonts w:ascii="Times New Roman" w:hAnsi="Times New Roman" w:cs="Times New Roman"/>
        </w:rPr>
        <w:t xml:space="preserve"> the amendments in the Federal Register</w:t>
      </w:r>
      <w:r w:rsidR="00CE1E5F" w:rsidRPr="00D15774">
        <w:rPr>
          <w:rFonts w:ascii="Times New Roman" w:hAnsi="Times New Roman" w:cs="Times New Roman"/>
        </w:rPr>
        <w:t xml:space="preserve"> on September 23, 2013</w:t>
      </w:r>
      <w:r w:rsidRPr="00D15774">
        <w:rPr>
          <w:rFonts w:ascii="Times New Roman" w:hAnsi="Times New Roman" w:cs="Times New Roman"/>
        </w:rPr>
        <w:t>.</w:t>
      </w:r>
    </w:p>
    <w:p w:rsidR="00CE1E5F" w:rsidRPr="00D15774" w:rsidRDefault="00CE1E5F" w:rsidP="001B1D1D">
      <w:pPr>
        <w:pStyle w:val="Default"/>
        <w:rPr>
          <w:rFonts w:ascii="Times New Roman" w:hAnsi="Times New Roman" w:cs="Times New Roman"/>
        </w:rPr>
      </w:pPr>
    </w:p>
    <w:p w:rsidR="00D15774" w:rsidRDefault="009377CB" w:rsidP="00D15774">
      <w:pPr>
        <w:widowControl w:val="0"/>
        <w:tabs>
          <w:tab w:val="left" w:pos="325"/>
          <w:tab w:val="left" w:pos="700"/>
          <w:tab w:val="left" w:pos="1090"/>
        </w:tabs>
        <w:ind w:left="-360"/>
      </w:pPr>
      <w:r w:rsidRPr="00D15774">
        <w:t xml:space="preserve">The rules apply to the more than 25,000 wells that are fractured and refractured each year, as well as to storage tanks and other pieces of </w:t>
      </w:r>
      <w:r w:rsidR="0002792F" w:rsidRPr="00D15774">
        <w:t xml:space="preserve">O&amp;G </w:t>
      </w:r>
      <w:r w:rsidRPr="00D15774">
        <w:t xml:space="preserve">equipment.  </w:t>
      </w:r>
      <w:r w:rsidR="00042617" w:rsidRPr="00D15774">
        <w:t xml:space="preserve">EPA asserts that the estimated revenues from selling the gas that currently goes to waste are significant – so much so that </w:t>
      </w:r>
      <w:r w:rsidR="00F5126F" w:rsidRPr="00D15774">
        <w:t>the</w:t>
      </w:r>
      <w:r w:rsidR="00042617" w:rsidRPr="00D15774">
        <w:t xml:space="preserve"> rule is anticipated to quickly result in a net savings of nearly $30</w:t>
      </w:r>
      <w:r w:rsidR="0007546A" w:rsidRPr="00D15774">
        <w:t>,000,000</w:t>
      </w:r>
      <w:r w:rsidR="00042617" w:rsidRPr="00D15774">
        <w:t xml:space="preserve"> annually, while significantly reducing p</w:t>
      </w:r>
      <w:r w:rsidR="00D15774">
        <w:t xml:space="preserve">ollution from the O&amp;G industry </w:t>
      </w:r>
    </w:p>
    <w:p w:rsidR="00D15774" w:rsidRDefault="00D15774" w:rsidP="00D15774">
      <w:pPr>
        <w:widowControl w:val="0"/>
        <w:tabs>
          <w:tab w:val="left" w:pos="325"/>
          <w:tab w:val="left" w:pos="700"/>
          <w:tab w:val="left" w:pos="1090"/>
        </w:tabs>
        <w:ind w:left="-360"/>
      </w:pPr>
    </w:p>
    <w:p w:rsidR="00042617" w:rsidRPr="00DA30CA" w:rsidRDefault="00042617" w:rsidP="00DA30CA">
      <w:pPr>
        <w:pStyle w:val="Heading3"/>
        <w:ind w:left="-360"/>
        <w:rPr>
          <w:b/>
          <w:color w:val="auto"/>
        </w:rPr>
      </w:pPr>
      <w:r w:rsidRPr="00DA30CA">
        <w:rPr>
          <w:b/>
          <w:color w:val="auto"/>
        </w:rPr>
        <w:t xml:space="preserve">a.  Summary of </w:t>
      </w:r>
      <w:r w:rsidR="006B3125" w:rsidRPr="00DA30CA">
        <w:rPr>
          <w:b/>
          <w:color w:val="auto"/>
        </w:rPr>
        <w:t>Adopted</w:t>
      </w:r>
      <w:r w:rsidRPr="00DA30CA">
        <w:rPr>
          <w:b/>
          <w:color w:val="auto"/>
        </w:rPr>
        <w:t xml:space="preserve"> New Source Performance Standards</w:t>
      </w:r>
      <w:r w:rsidR="00E21C92" w:rsidRPr="00DA30CA">
        <w:rPr>
          <w:b/>
          <w:color w:val="auto"/>
        </w:rPr>
        <w:fldChar w:fldCharType="begin"/>
      </w:r>
      <w:r w:rsidRPr="00DA30CA">
        <w:rPr>
          <w:b/>
          <w:color w:val="auto"/>
        </w:rPr>
        <w:instrText xml:space="preserve"> TC \l2 "</w:instrText>
      </w:r>
      <w:bookmarkStart w:id="24" w:name="_Toc363192315"/>
      <w:r w:rsidRPr="00DA30CA">
        <w:rPr>
          <w:b/>
          <w:color w:val="auto"/>
        </w:rPr>
        <w:instrText>a.  Summary of Proposed New Source Performance Standards</w:instrText>
      </w:r>
      <w:bookmarkEnd w:id="24"/>
      <w:r w:rsidR="00E21C92" w:rsidRPr="00DA30CA">
        <w:rPr>
          <w:b/>
          <w:color w:val="auto"/>
        </w:rPr>
        <w:fldChar w:fldCharType="end"/>
      </w:r>
    </w:p>
    <w:p w:rsidR="00042617" w:rsidRPr="00D15774" w:rsidRDefault="00042617" w:rsidP="000B0BB8">
      <w:pPr>
        <w:pStyle w:val="Heading4"/>
        <w:rPr>
          <w:rFonts w:ascii="Times New Roman" w:hAnsi="Times New Roman" w:cs="Times New Roman"/>
          <w:color w:val="auto"/>
        </w:rPr>
      </w:pPr>
      <w:bookmarkStart w:id="25" w:name="_Toc369086988"/>
      <w:r w:rsidRPr="00D15774">
        <w:rPr>
          <w:rFonts w:ascii="Times New Roman" w:hAnsi="Times New Roman" w:cs="Times New Roman"/>
          <w:color w:val="auto"/>
        </w:rPr>
        <w:t xml:space="preserve">New Source Performance Standards </w:t>
      </w:r>
      <w:r w:rsidR="00AD5824" w:rsidRPr="00D15774">
        <w:rPr>
          <w:rFonts w:ascii="Times New Roman" w:hAnsi="Times New Roman" w:cs="Times New Roman"/>
          <w:color w:val="auto"/>
        </w:rPr>
        <w:t xml:space="preserve">Subpart OOOO </w:t>
      </w:r>
      <w:r w:rsidRPr="00D15774">
        <w:rPr>
          <w:rFonts w:ascii="Times New Roman" w:hAnsi="Times New Roman" w:cs="Times New Roman"/>
          <w:color w:val="auto"/>
        </w:rPr>
        <w:t>for Volatile Organic Compounds (VOCs)</w:t>
      </w:r>
      <w:bookmarkEnd w:id="25"/>
      <w:r w:rsidR="00E21C92" w:rsidRPr="00D15774">
        <w:rPr>
          <w:rFonts w:ascii="Times New Roman" w:hAnsi="Times New Roman" w:cs="Times New Roman"/>
          <w:color w:val="auto"/>
        </w:rPr>
        <w:fldChar w:fldCharType="begin"/>
      </w:r>
      <w:r w:rsidRPr="00D15774">
        <w:rPr>
          <w:rFonts w:ascii="Times New Roman" w:hAnsi="Times New Roman" w:cs="Times New Roman"/>
          <w:color w:val="auto"/>
        </w:rPr>
        <w:instrText xml:space="preserve"> TC \l3 "</w:instrText>
      </w:r>
      <w:bookmarkStart w:id="26" w:name="_Toc363192316"/>
      <w:r w:rsidRPr="00D15774">
        <w:rPr>
          <w:rFonts w:ascii="Times New Roman" w:hAnsi="Times New Roman" w:cs="Times New Roman"/>
          <w:color w:val="auto"/>
        </w:rPr>
        <w:instrText>New Source Performance Standards</w:instrText>
      </w:r>
      <w:r w:rsidR="001D3BCF">
        <w:rPr>
          <w:rFonts w:ascii="Times New Roman" w:hAnsi="Times New Roman" w:cs="Times New Roman"/>
          <w:color w:val="auto"/>
        </w:rPr>
        <w:instrText xml:space="preserve"> for Volatile Organic Compounds</w:instrText>
      </w:r>
      <w:bookmarkEnd w:id="26"/>
      <w:r w:rsidR="00E21C92" w:rsidRPr="00D15774">
        <w:rPr>
          <w:rFonts w:ascii="Times New Roman" w:hAnsi="Times New Roman" w:cs="Times New Roman"/>
          <w:color w:val="auto"/>
        </w:rPr>
        <w:fldChar w:fldCharType="end"/>
      </w:r>
    </w:p>
    <w:p w:rsidR="00042617" w:rsidRPr="00D15774" w:rsidRDefault="00042617">
      <w:pPr>
        <w:widowControl w:val="0"/>
        <w:tabs>
          <w:tab w:val="left" w:pos="325"/>
          <w:tab w:val="left" w:pos="700"/>
          <w:tab w:val="left" w:pos="1090"/>
        </w:tabs>
        <w:spacing w:after="60"/>
      </w:pPr>
    </w:p>
    <w:p w:rsidR="00042617" w:rsidRPr="00D15774" w:rsidRDefault="00042617" w:rsidP="00C759C8">
      <w:pPr>
        <w:widowControl w:val="0"/>
        <w:tabs>
          <w:tab w:val="left" w:pos="90"/>
          <w:tab w:val="left" w:pos="180"/>
          <w:tab w:val="left" w:pos="360"/>
          <w:tab w:val="left" w:pos="700"/>
          <w:tab w:val="left" w:pos="1090"/>
        </w:tabs>
        <w:spacing w:after="60"/>
        <w:ind w:left="-360"/>
      </w:pPr>
      <w:r w:rsidRPr="00D15774">
        <w:t xml:space="preserve">The oil and gas industry is a significant source of VOCs, which contribute to the formation of ground level ozone. </w:t>
      </w:r>
      <w:r w:rsidR="00F720A5" w:rsidRPr="00D15774">
        <w:t xml:space="preserve"> </w:t>
      </w:r>
      <w:r w:rsidRPr="00D15774">
        <w:t xml:space="preserve">EPA’s </w:t>
      </w:r>
      <w:r w:rsidR="008E6B05" w:rsidRPr="00D15774">
        <w:t xml:space="preserve">old </w:t>
      </w:r>
      <w:r w:rsidRPr="00D15774">
        <w:t>NSPS for VOCs (Subpart KKK) was issued in</w:t>
      </w:r>
      <w:r w:rsidR="009B26E2" w:rsidRPr="00D15774">
        <w:t xml:space="preserve"> </w:t>
      </w:r>
      <w:r w:rsidRPr="00D15774">
        <w:t>1985</w:t>
      </w:r>
      <w:r w:rsidR="008E6B05" w:rsidRPr="00D15774">
        <w:t>.  The old</w:t>
      </w:r>
      <w:r w:rsidRPr="00D15774">
        <w:t xml:space="preserve"> standards address</w:t>
      </w:r>
      <w:r w:rsidR="008E6B05" w:rsidRPr="00D15774">
        <w:t>ed</w:t>
      </w:r>
      <w:r w:rsidRPr="00D15774">
        <w:t xml:space="preserve"> only VOC leak detection and repair (LDAR) at new and modified natural gas process processing plants</w:t>
      </w:r>
      <w:r w:rsidR="00F5126F" w:rsidRPr="00D15774">
        <w:t>.  This</w:t>
      </w:r>
      <w:r w:rsidRPr="00D15774">
        <w:t xml:space="preserve"> mean</w:t>
      </w:r>
      <w:r w:rsidR="00F5126F" w:rsidRPr="00D15774">
        <w:t>t</w:t>
      </w:r>
      <w:r w:rsidRPr="00D15774">
        <w:t xml:space="preserve"> </w:t>
      </w:r>
      <w:r w:rsidR="00F5126F" w:rsidRPr="00D15774">
        <w:t xml:space="preserve">that </w:t>
      </w:r>
      <w:r w:rsidRPr="00D15774">
        <w:t>significant sources of VOC emissions in the</w:t>
      </w:r>
      <w:r w:rsidR="00F5126F" w:rsidRPr="00D15774">
        <w:t xml:space="preserve"> oil and gas industry </w:t>
      </w:r>
      <w:r w:rsidR="008E6B05" w:rsidRPr="00D15774">
        <w:t>we</w:t>
      </w:r>
      <w:r w:rsidRPr="00D15774">
        <w:t xml:space="preserve">re not subject to nationwide regulation.  EPA </w:t>
      </w:r>
      <w:r w:rsidR="008E6B05" w:rsidRPr="00D15774">
        <w:t>issued</w:t>
      </w:r>
      <w:r w:rsidRPr="00D15774">
        <w:t xml:space="preserve"> new standards under Subpart OOOO for several processes or pieces of equipment used in oil and gas production that ha</w:t>
      </w:r>
      <w:r w:rsidR="008E6B05" w:rsidRPr="00D15774">
        <w:t>d</w:t>
      </w:r>
      <w:r w:rsidRPr="00D15774">
        <w:t xml:space="preserve"> not previously been subject to </w:t>
      </w:r>
      <w:r w:rsidR="00956808" w:rsidRPr="00D15774">
        <w:t>federal</w:t>
      </w:r>
      <w:r w:rsidRPr="00D15774">
        <w:t xml:space="preserve"> regulation.  These include well completions at new hydraulically fractured natural gas wells and at existi</w:t>
      </w:r>
      <w:r w:rsidR="0007546A" w:rsidRPr="00D15774">
        <w:t xml:space="preserve">ng wells that are fractured or </w:t>
      </w:r>
      <w:r w:rsidR="009C3D58" w:rsidRPr="00D15774">
        <w:t>re</w:t>
      </w:r>
      <w:r w:rsidRPr="00D15774">
        <w:t>fractured.</w:t>
      </w:r>
    </w:p>
    <w:p w:rsidR="00042617" w:rsidRPr="00D15774" w:rsidRDefault="00042617">
      <w:pPr>
        <w:widowControl w:val="0"/>
        <w:tabs>
          <w:tab w:val="left" w:pos="432"/>
          <w:tab w:val="left" w:pos="869"/>
          <w:tab w:val="left" w:pos="1321"/>
        </w:tabs>
        <w:spacing w:after="60"/>
      </w:pPr>
    </w:p>
    <w:p w:rsidR="00042617" w:rsidRPr="00D15774" w:rsidRDefault="00042617" w:rsidP="00C759C8">
      <w:pPr>
        <w:widowControl w:val="0"/>
        <w:tabs>
          <w:tab w:val="left" w:pos="432"/>
          <w:tab w:val="left" w:pos="869"/>
          <w:tab w:val="left" w:pos="1321"/>
        </w:tabs>
        <w:spacing w:after="60"/>
        <w:ind w:left="-360"/>
      </w:pPr>
      <w:r w:rsidRPr="00D15774">
        <w:t xml:space="preserve">The </w:t>
      </w:r>
      <w:r w:rsidR="009377CB" w:rsidRPr="00D15774">
        <w:t xml:space="preserve">regulations </w:t>
      </w:r>
      <w:r w:rsidRPr="00D15774">
        <w:t xml:space="preserve">require VOC reductions from </w:t>
      </w:r>
      <w:r w:rsidRPr="00D15774">
        <w:rPr>
          <w:b/>
        </w:rPr>
        <w:t>five c</w:t>
      </w:r>
      <w:r w:rsidR="00381C28" w:rsidRPr="00D15774">
        <w:rPr>
          <w:b/>
        </w:rPr>
        <w:t>ategories</w:t>
      </w:r>
      <w:r w:rsidR="00381C28" w:rsidRPr="00D15774">
        <w:t xml:space="preserve"> of sources including:</w:t>
      </w:r>
    </w:p>
    <w:p w:rsidR="001B1D1D" w:rsidRPr="00D15774" w:rsidRDefault="001B1D1D" w:rsidP="001B1D1D">
      <w:pPr>
        <w:pStyle w:val="ListParagraph"/>
        <w:widowControl w:val="0"/>
        <w:numPr>
          <w:ilvl w:val="0"/>
          <w:numId w:val="12"/>
        </w:numPr>
        <w:tabs>
          <w:tab w:val="left" w:pos="432"/>
          <w:tab w:val="left" w:pos="869"/>
          <w:tab w:val="left" w:pos="1321"/>
        </w:tabs>
        <w:spacing w:after="60"/>
      </w:pPr>
      <w:r w:rsidRPr="00D15774">
        <w:t>Completions/Re-Completions of Fractured Natural Gas Wells</w:t>
      </w:r>
    </w:p>
    <w:p w:rsidR="001B1D1D" w:rsidRPr="00D15774" w:rsidRDefault="001B1D1D" w:rsidP="001B1D1D">
      <w:pPr>
        <w:pStyle w:val="ListParagraph"/>
        <w:widowControl w:val="0"/>
        <w:numPr>
          <w:ilvl w:val="0"/>
          <w:numId w:val="12"/>
        </w:numPr>
        <w:tabs>
          <w:tab w:val="left" w:pos="432"/>
          <w:tab w:val="left" w:pos="869"/>
          <w:tab w:val="left" w:pos="1321"/>
        </w:tabs>
        <w:spacing w:after="60"/>
      </w:pPr>
      <w:r w:rsidRPr="00D15774">
        <w:t>Compressor Fugitive Leaks</w:t>
      </w:r>
    </w:p>
    <w:p w:rsidR="001B1D1D" w:rsidRPr="00D15774" w:rsidRDefault="001B1D1D" w:rsidP="001B1D1D">
      <w:pPr>
        <w:pStyle w:val="ListParagraph"/>
        <w:widowControl w:val="0"/>
        <w:numPr>
          <w:ilvl w:val="0"/>
          <w:numId w:val="12"/>
        </w:numPr>
        <w:tabs>
          <w:tab w:val="left" w:pos="432"/>
          <w:tab w:val="left" w:pos="869"/>
          <w:tab w:val="left" w:pos="1321"/>
        </w:tabs>
        <w:spacing w:after="60"/>
      </w:pPr>
      <w:r w:rsidRPr="00D15774">
        <w:t>Pneumatic Controllers</w:t>
      </w:r>
    </w:p>
    <w:p w:rsidR="001B1D1D" w:rsidRPr="00D15774" w:rsidRDefault="001B1D1D" w:rsidP="001B1D1D">
      <w:pPr>
        <w:pStyle w:val="ListParagraph"/>
        <w:widowControl w:val="0"/>
        <w:numPr>
          <w:ilvl w:val="0"/>
          <w:numId w:val="12"/>
        </w:numPr>
        <w:tabs>
          <w:tab w:val="left" w:pos="432"/>
          <w:tab w:val="left" w:pos="869"/>
          <w:tab w:val="left" w:pos="1321"/>
        </w:tabs>
        <w:spacing w:after="60"/>
      </w:pPr>
      <w:r w:rsidRPr="00D15774">
        <w:t>Hydrocarbon Liquid Storage Tanks Flashing or Standing/Working Breathing Losses</w:t>
      </w:r>
    </w:p>
    <w:p w:rsidR="00002C37" w:rsidRPr="00D15774" w:rsidRDefault="001B1D1D" w:rsidP="001B42E7">
      <w:pPr>
        <w:pStyle w:val="ListParagraph"/>
        <w:widowControl w:val="0"/>
        <w:numPr>
          <w:ilvl w:val="0"/>
          <w:numId w:val="12"/>
        </w:numPr>
        <w:tabs>
          <w:tab w:val="left" w:pos="432"/>
          <w:tab w:val="left" w:pos="869"/>
          <w:tab w:val="left" w:pos="1321"/>
        </w:tabs>
        <w:spacing w:after="60"/>
      </w:pPr>
      <w:r w:rsidRPr="00D15774">
        <w:t>Natural Gas Processing Plants</w:t>
      </w:r>
    </w:p>
    <w:p w:rsidR="00002C37" w:rsidRPr="00D15774" w:rsidRDefault="00002C37" w:rsidP="00002C37"/>
    <w:p w:rsidR="00042617" w:rsidRPr="00D15774" w:rsidRDefault="00042617" w:rsidP="00002C37">
      <w:r w:rsidRPr="00D15774">
        <w:rPr>
          <w:b/>
        </w:rPr>
        <w:t xml:space="preserve">1)  Completions of new hydraulically fractured natural gas wells and re-completions of </w:t>
      </w:r>
      <w:r w:rsidR="00381C28" w:rsidRPr="00D15774">
        <w:rPr>
          <w:b/>
        </w:rPr>
        <w:t xml:space="preserve">existing natural gas wells that </w:t>
      </w:r>
      <w:r w:rsidR="00F720A5" w:rsidRPr="00D15774">
        <w:rPr>
          <w:b/>
        </w:rPr>
        <w:t>undergo</w:t>
      </w:r>
      <w:r w:rsidRPr="00D15774">
        <w:rPr>
          <w:b/>
        </w:rPr>
        <w:t xml:space="preserve"> fractur</w:t>
      </w:r>
      <w:r w:rsidR="00F720A5" w:rsidRPr="00D15774">
        <w:rPr>
          <w:b/>
        </w:rPr>
        <w:t>ing</w:t>
      </w:r>
      <w:r w:rsidRPr="00D15774">
        <w:rPr>
          <w:b/>
        </w:rPr>
        <w:t xml:space="preserve"> or refractur</w:t>
      </w:r>
      <w:r w:rsidR="00F720A5" w:rsidRPr="00D15774">
        <w:rPr>
          <w:b/>
        </w:rPr>
        <w:t>ing</w:t>
      </w:r>
      <w:r w:rsidRPr="00D15774">
        <w:t>.</w:t>
      </w:r>
    </w:p>
    <w:p w:rsidR="00042617" w:rsidRPr="00D15774" w:rsidRDefault="00042617">
      <w:pPr>
        <w:widowControl w:val="0"/>
        <w:tabs>
          <w:tab w:val="left" w:pos="432"/>
          <w:tab w:val="left" w:pos="869"/>
          <w:tab w:val="left" w:pos="1321"/>
        </w:tabs>
        <w:spacing w:after="60"/>
        <w:ind w:left="869" w:hanging="437"/>
      </w:pPr>
      <w:r w:rsidRPr="00D15774">
        <w:t>○</w:t>
      </w:r>
      <w:r w:rsidRPr="00D15774">
        <w:tab/>
        <w:t xml:space="preserve">VOC emissions </w:t>
      </w:r>
      <w:r w:rsidR="008E6B05" w:rsidRPr="00D15774">
        <w:t>are</w:t>
      </w:r>
      <w:r w:rsidRPr="00D15774">
        <w:t xml:space="preserve"> minimized through the use of “green completions,” also called “reduced emissions completions”</w:t>
      </w:r>
      <w:r w:rsidR="008E6B05" w:rsidRPr="00D15774">
        <w:t xml:space="preserve"> or RECs.</w:t>
      </w:r>
      <w:r w:rsidRPr="00D15774">
        <w:t xml:space="preserve">  In a green completion, special equipment separates gas and liquid hydrocarbons from the flowback that comes from the well as it is being prepared for production.  The gas and hydrocarbons can then be treated and sold.</w:t>
      </w:r>
    </w:p>
    <w:p w:rsidR="00042617" w:rsidRPr="00D15774" w:rsidRDefault="00042617">
      <w:pPr>
        <w:widowControl w:val="0"/>
        <w:tabs>
          <w:tab w:val="left" w:pos="432"/>
          <w:tab w:val="left" w:pos="869"/>
          <w:tab w:val="left" w:pos="1321"/>
        </w:tabs>
        <w:spacing w:after="60"/>
        <w:ind w:left="869" w:hanging="437"/>
      </w:pPr>
      <w:r w:rsidRPr="00D15774">
        <w:t>○</w:t>
      </w:r>
      <w:r w:rsidRPr="00D15774">
        <w:tab/>
        <w:t>Wyoming and Colorado</w:t>
      </w:r>
      <w:r w:rsidR="0007546A" w:rsidRPr="00D15774">
        <w:t xml:space="preserve"> already</w:t>
      </w:r>
      <w:r w:rsidRPr="00D15774">
        <w:t xml:space="preserve"> require green completions</w:t>
      </w:r>
      <w:r w:rsidR="00DF6B2D" w:rsidRPr="00D15774">
        <w:t xml:space="preserve"> in certain situations</w:t>
      </w:r>
      <w:r w:rsidRPr="00D15774">
        <w:t xml:space="preserve">, and a </w:t>
      </w:r>
      <w:r w:rsidRPr="00D15774">
        <w:lastRenderedPageBreak/>
        <w:t>number of companies are voluntarily using this process through EPA’s Natural Gas STAR program.  In addition, green completions have been identified as an option for thousands of new gas wells in the Uinta Basin in Utah to address concerns about air quality impacts associated with natural gas development in the region.</w:t>
      </w:r>
    </w:p>
    <w:p w:rsidR="00042617" w:rsidRPr="00D15774" w:rsidRDefault="00042617">
      <w:pPr>
        <w:widowControl w:val="0"/>
        <w:tabs>
          <w:tab w:val="left" w:pos="432"/>
          <w:tab w:val="left" w:pos="869"/>
          <w:tab w:val="left" w:pos="1321"/>
        </w:tabs>
        <w:spacing w:after="60"/>
        <w:ind w:left="869" w:hanging="437"/>
      </w:pPr>
      <w:r w:rsidRPr="00D15774">
        <w:t>○</w:t>
      </w:r>
      <w:r w:rsidRPr="00D15774">
        <w:tab/>
        <w:t>EPA estimates that use of this equipment for the three to 10 day flowback period reduces VOC emissions from completions and recompletions of hydraulically fractured wells by 95 percent.</w:t>
      </w:r>
    </w:p>
    <w:p w:rsidR="00042617" w:rsidRPr="00D15774" w:rsidRDefault="00042617">
      <w:pPr>
        <w:keepLines/>
        <w:widowControl w:val="0"/>
        <w:tabs>
          <w:tab w:val="left" w:pos="432"/>
          <w:tab w:val="left" w:pos="869"/>
          <w:tab w:val="left" w:pos="1321"/>
        </w:tabs>
        <w:spacing w:after="60"/>
        <w:ind w:left="869" w:hanging="437"/>
      </w:pPr>
      <w:r w:rsidRPr="00D15774">
        <w:t>○</w:t>
      </w:r>
      <w:r w:rsidRPr="00D15774">
        <w:tab/>
        <w:t xml:space="preserve">When </w:t>
      </w:r>
      <w:r w:rsidR="00F720A5" w:rsidRPr="00D15774">
        <w:t xml:space="preserve">natural </w:t>
      </w:r>
      <w:r w:rsidRPr="00D15774">
        <w:t xml:space="preserve">gas cannot be collected, VOCs </w:t>
      </w:r>
      <w:r w:rsidR="008E6B05" w:rsidRPr="00D15774">
        <w:t>are</w:t>
      </w:r>
      <w:r w:rsidRPr="00D15774">
        <w:t xml:space="preserve"> reduced through pit flaring, unless it is a safety hazard.</w:t>
      </w:r>
    </w:p>
    <w:p w:rsidR="00042617" w:rsidRPr="00D15774" w:rsidRDefault="00F5126F">
      <w:pPr>
        <w:widowControl w:val="0"/>
        <w:tabs>
          <w:tab w:val="left" w:pos="432"/>
          <w:tab w:val="left" w:pos="869"/>
          <w:tab w:val="left" w:pos="1321"/>
        </w:tabs>
        <w:spacing w:after="60"/>
        <w:ind w:left="869" w:hanging="437"/>
      </w:pPr>
      <w:r w:rsidRPr="00D15774">
        <w:t>○</w:t>
      </w:r>
      <w:r w:rsidRPr="00D15774">
        <w:tab/>
        <w:t>Greenhouse Gas m</w:t>
      </w:r>
      <w:r w:rsidR="00042617" w:rsidRPr="00D15774">
        <w:t>ethane</w:t>
      </w:r>
      <w:r w:rsidR="0007546A" w:rsidRPr="00D15774">
        <w:t xml:space="preserve"> emissions </w:t>
      </w:r>
      <w:r w:rsidR="008E6B05" w:rsidRPr="00D15774">
        <w:t>are</w:t>
      </w:r>
      <w:r w:rsidR="0007546A" w:rsidRPr="00D15774">
        <w:t xml:space="preserve"> also</w:t>
      </w:r>
      <w:r w:rsidR="00042617" w:rsidRPr="00D15774">
        <w:t xml:space="preserve"> significantly reduced as a co-benefit of reducing VOCs.</w:t>
      </w:r>
    </w:p>
    <w:p w:rsidR="003D3CE1" w:rsidRPr="00D15774" w:rsidRDefault="00042617" w:rsidP="003D3CE1">
      <w:pPr>
        <w:widowControl w:val="0"/>
        <w:tabs>
          <w:tab w:val="left" w:pos="432"/>
          <w:tab w:val="left" w:pos="869"/>
          <w:tab w:val="left" w:pos="1321"/>
        </w:tabs>
        <w:spacing w:after="60"/>
        <w:ind w:left="869" w:hanging="437"/>
      </w:pPr>
      <w:r w:rsidRPr="00D15774">
        <w:t>○</w:t>
      </w:r>
      <w:r w:rsidRPr="00D15774">
        <w:tab/>
        <w:t xml:space="preserve">The green completion requirements </w:t>
      </w:r>
      <w:r w:rsidR="008E6B05" w:rsidRPr="00D15774">
        <w:t>do</w:t>
      </w:r>
      <w:r w:rsidRPr="00D15774">
        <w:t xml:space="preserve"> not apply to exploratory wells</w:t>
      </w:r>
      <w:r w:rsidR="00300D42" w:rsidRPr="00D15774">
        <w:t xml:space="preserve"> or</w:t>
      </w:r>
      <w:r w:rsidR="009377CB" w:rsidRPr="00D15774">
        <w:t xml:space="preserve"> </w:t>
      </w:r>
      <w:r w:rsidRPr="00D15774">
        <w:t xml:space="preserve">delineation wells (used to define the borders of a natural gas reservoir), because </w:t>
      </w:r>
      <w:r w:rsidR="003D3CE1" w:rsidRPr="00D15774">
        <w:t xml:space="preserve">they are not near a sales line.  Those wells must use pit flaring to burn off their </w:t>
      </w:r>
      <w:r w:rsidR="00300D42" w:rsidRPr="00D15774">
        <w:t xml:space="preserve">VOC </w:t>
      </w:r>
      <w:r w:rsidR="003D3CE1" w:rsidRPr="00D15774">
        <w:t>emissions, unless it is a safety hazard</w:t>
      </w:r>
      <w:r w:rsidR="00300D42" w:rsidRPr="00D15774">
        <w:t>.</w:t>
      </w:r>
    </w:p>
    <w:p w:rsidR="003D3CE1" w:rsidRPr="00D15774" w:rsidRDefault="003D3CE1" w:rsidP="001003CC">
      <w:pPr>
        <w:widowControl w:val="0"/>
        <w:tabs>
          <w:tab w:val="left" w:pos="432"/>
          <w:tab w:val="left" w:pos="869"/>
          <w:tab w:val="left" w:pos="1321"/>
        </w:tabs>
        <w:spacing w:after="60"/>
        <w:ind w:left="869" w:hanging="437"/>
      </w:pPr>
      <w:r w:rsidRPr="00D15774">
        <w:t>○</w:t>
      </w:r>
      <w:r w:rsidRPr="00D15774">
        <w:tab/>
        <w:t xml:space="preserve">The green completion requirements do not apply to </w:t>
      </w:r>
      <w:r w:rsidR="009377CB" w:rsidRPr="00D15774">
        <w:t>low pressure wells.</w:t>
      </w:r>
      <w:r w:rsidR="001003CC" w:rsidRPr="00D15774">
        <w:t xml:space="preserve"> </w:t>
      </w:r>
      <w:r w:rsidRPr="00D15774">
        <w:t xml:space="preserve"> Low pressure wells are defined as those with </w:t>
      </w:r>
      <w:r w:rsidRPr="00D15774">
        <w:rPr>
          <w:color w:val="000000"/>
          <w:szCs w:val="24"/>
        </w:rPr>
        <w:t>reservoir pressure and vertical well depth such that 0.445 times static reservoir pressure (in pounds per square inch absolute</w:t>
      </w:r>
      <w:r w:rsidR="00F00522" w:rsidRPr="00D15774">
        <w:rPr>
          <w:color w:val="000000"/>
          <w:szCs w:val="24"/>
        </w:rPr>
        <w:t xml:space="preserve"> - </w:t>
      </w:r>
      <w:r w:rsidRPr="00D15774">
        <w:rPr>
          <w:color w:val="000000"/>
          <w:szCs w:val="24"/>
        </w:rPr>
        <w:t>psia), minus 0.038 times the vertical well depth (in feet), minus 67.578 psia is less than the flow line pressure at the sales meter. Thus wells above this pressure differential must implement REC, while wells below this pressure differential are required to route emissions to a completion combustion device.</w:t>
      </w:r>
    </w:p>
    <w:p w:rsidR="00042617" w:rsidRPr="00D15774" w:rsidRDefault="001003CC" w:rsidP="001003CC">
      <w:pPr>
        <w:widowControl w:val="0"/>
        <w:tabs>
          <w:tab w:val="left" w:pos="432"/>
          <w:tab w:val="left" w:pos="869"/>
          <w:tab w:val="left" w:pos="1321"/>
        </w:tabs>
        <w:spacing w:after="60"/>
        <w:ind w:left="869" w:hanging="437"/>
      </w:pPr>
      <w:r w:rsidRPr="00D15774">
        <w:t>○</w:t>
      </w:r>
      <w:r w:rsidRPr="00D15774">
        <w:tab/>
        <w:t xml:space="preserve">To insure that REC equipment is broadly available, EPA has identified a transition period (until January 1, 2015).  Owners/Operators </w:t>
      </w:r>
      <w:r w:rsidRPr="00D15774">
        <w:rPr>
          <w:b/>
          <w:i/>
          <w:u w:val="single"/>
        </w:rPr>
        <w:t>may use</w:t>
      </w:r>
      <w:r w:rsidRPr="00D15774">
        <w:t xml:space="preserve"> RECs </w:t>
      </w:r>
      <w:r w:rsidR="005548D4" w:rsidRPr="00D15774">
        <w:rPr>
          <w:b/>
          <w:i/>
          <w:u w:val="single"/>
        </w:rPr>
        <w:t>or</w:t>
      </w:r>
      <w:r w:rsidR="005548D4" w:rsidRPr="00D15774">
        <w:t xml:space="preserve"> a completion combustion devices (</w:t>
      </w:r>
      <w:r w:rsidR="00204B9D" w:rsidRPr="00D15774">
        <w:t>including</w:t>
      </w:r>
      <w:r w:rsidR="005548D4" w:rsidRPr="00D15774">
        <w:t xml:space="preserve"> flaring) until January 1, 2015, but the </w:t>
      </w:r>
      <w:r w:rsidR="005548D4" w:rsidRPr="00D15774">
        <w:rPr>
          <w:b/>
          <w:i/>
          <w:u w:val="single"/>
        </w:rPr>
        <w:t>must use</w:t>
      </w:r>
      <w:r w:rsidR="005548D4" w:rsidRPr="00D15774">
        <w:t xml:space="preserve"> RECs </w:t>
      </w:r>
      <w:r w:rsidR="005548D4" w:rsidRPr="00D15774">
        <w:rPr>
          <w:b/>
          <w:i/>
          <w:u w:val="single"/>
        </w:rPr>
        <w:t>and</w:t>
      </w:r>
      <w:r w:rsidR="005548D4" w:rsidRPr="00D15774">
        <w:t xml:space="preserve"> a completion combustion device on or after that date.</w:t>
      </w:r>
    </w:p>
    <w:p w:rsidR="00204B9D" w:rsidRPr="00D15774" w:rsidRDefault="00204B9D">
      <w:pPr>
        <w:widowControl w:val="0"/>
        <w:tabs>
          <w:tab w:val="left" w:pos="432"/>
          <w:tab w:val="left" w:pos="869"/>
          <w:tab w:val="left" w:pos="1321"/>
        </w:tabs>
        <w:spacing w:after="60"/>
        <w:rPr>
          <w:b/>
        </w:rPr>
      </w:pPr>
    </w:p>
    <w:p w:rsidR="00042617" w:rsidRPr="00D15774" w:rsidRDefault="00042617">
      <w:pPr>
        <w:widowControl w:val="0"/>
        <w:tabs>
          <w:tab w:val="left" w:pos="432"/>
          <w:tab w:val="left" w:pos="869"/>
          <w:tab w:val="left" w:pos="1321"/>
        </w:tabs>
        <w:spacing w:after="60"/>
        <w:rPr>
          <w:b/>
        </w:rPr>
      </w:pPr>
      <w:r w:rsidRPr="00D15774">
        <w:rPr>
          <w:b/>
        </w:rPr>
        <w:t>2)  Compressors</w:t>
      </w:r>
    </w:p>
    <w:p w:rsidR="00042617" w:rsidRPr="00D15774" w:rsidRDefault="00042617">
      <w:pPr>
        <w:widowControl w:val="0"/>
        <w:tabs>
          <w:tab w:val="left" w:pos="432"/>
          <w:tab w:val="left" w:pos="869"/>
          <w:tab w:val="left" w:pos="1321"/>
        </w:tabs>
        <w:spacing w:after="60"/>
        <w:ind w:left="869" w:hanging="437"/>
      </w:pPr>
      <w:r w:rsidRPr="00D15774">
        <w:t>○</w:t>
      </w:r>
      <w:r w:rsidRPr="00D15774">
        <w:tab/>
        <w:t>Compression is necessary to move natural gas along a pipeline. Th</w:t>
      </w:r>
      <w:r w:rsidR="00F00522" w:rsidRPr="00D15774">
        <w:t>is</w:t>
      </w:r>
      <w:r w:rsidRPr="00D15774">
        <w:t xml:space="preserve"> rule reduce</w:t>
      </w:r>
      <w:r w:rsidR="008E6B05" w:rsidRPr="00D15774">
        <w:t>s</w:t>
      </w:r>
      <w:r w:rsidRPr="00D15774">
        <w:t xml:space="preserve"> VOC emissions from two types of compressors:</w:t>
      </w:r>
    </w:p>
    <w:p w:rsidR="00042617" w:rsidRPr="00D15774" w:rsidRDefault="00042617">
      <w:pPr>
        <w:widowControl w:val="0"/>
        <w:tabs>
          <w:tab w:val="left" w:pos="432"/>
          <w:tab w:val="left" w:pos="869"/>
          <w:tab w:val="left" w:pos="1321"/>
        </w:tabs>
        <w:spacing w:after="60"/>
        <w:ind w:left="869" w:hanging="437"/>
      </w:pPr>
      <w:r w:rsidRPr="00D15774">
        <w:t>○</w:t>
      </w:r>
      <w:r w:rsidRPr="00D15774">
        <w:tab/>
      </w:r>
      <w:r w:rsidR="00FA17C0" w:rsidRPr="00D15774">
        <w:t>Th</w:t>
      </w:r>
      <w:r w:rsidR="00F00522" w:rsidRPr="00D15774">
        <w:t>is rule</w:t>
      </w:r>
      <w:r w:rsidR="00FA17C0" w:rsidRPr="00D15774">
        <w:t xml:space="preserve"> </w:t>
      </w:r>
      <w:r w:rsidR="008E6B05" w:rsidRPr="00D15774">
        <w:t>requires 95% reduction of VOC emissions from wet seal c</w:t>
      </w:r>
      <w:r w:rsidRPr="00D15774">
        <w:t xml:space="preserve">entrifugal </w:t>
      </w:r>
      <w:r w:rsidR="00300D42" w:rsidRPr="00D15774">
        <w:t>c</w:t>
      </w:r>
      <w:r w:rsidRPr="00D15774">
        <w:t>ompressor</w:t>
      </w:r>
      <w:r w:rsidR="008E6B05" w:rsidRPr="00D15774">
        <w:t>s located between the wellhead and the point at which the gas enters the t</w:t>
      </w:r>
      <w:r w:rsidR="008054C6" w:rsidRPr="00D15774">
        <w:t>ransmission and storage segment</w:t>
      </w:r>
      <w:r w:rsidRPr="00D15774">
        <w:t>.</w:t>
      </w:r>
    </w:p>
    <w:p w:rsidR="004D59BD" w:rsidRPr="00D15774" w:rsidRDefault="00042617" w:rsidP="0006500C">
      <w:pPr>
        <w:widowControl w:val="0"/>
        <w:tabs>
          <w:tab w:val="left" w:pos="432"/>
          <w:tab w:val="left" w:pos="869"/>
          <w:tab w:val="left" w:pos="1321"/>
        </w:tabs>
        <w:spacing w:after="60"/>
        <w:ind w:left="869" w:hanging="437"/>
      </w:pPr>
      <w:r w:rsidRPr="00D15774">
        <w:t>○</w:t>
      </w:r>
      <w:r w:rsidRPr="00D15774">
        <w:tab/>
        <w:t xml:space="preserve">Owners/operators of reciprocating compressors </w:t>
      </w:r>
      <w:r w:rsidR="008054C6" w:rsidRPr="00D15774">
        <w:t xml:space="preserve">must </w:t>
      </w:r>
      <w:r w:rsidRPr="00D15774">
        <w:t>replace rod packing systems every 26,000 hours of operatio</w:t>
      </w:r>
      <w:r w:rsidR="008054C6" w:rsidRPr="00D15774">
        <w:t>n, or after 36 months</w:t>
      </w:r>
      <w:r w:rsidRPr="00D15774">
        <w:t>.</w:t>
      </w:r>
      <w:r w:rsidR="004D59BD" w:rsidRPr="00D15774">
        <w:t xml:space="preserve"> </w:t>
      </w:r>
    </w:p>
    <w:p w:rsidR="00F5126F" w:rsidRPr="00D15774" w:rsidRDefault="00F5126F" w:rsidP="0006500C">
      <w:pPr>
        <w:widowControl w:val="0"/>
        <w:tabs>
          <w:tab w:val="left" w:pos="432"/>
          <w:tab w:val="left" w:pos="869"/>
          <w:tab w:val="left" w:pos="1321"/>
        </w:tabs>
        <w:spacing w:after="60"/>
        <w:ind w:left="869" w:hanging="437"/>
      </w:pPr>
    </w:p>
    <w:p w:rsidR="00042617" w:rsidRPr="00D15774" w:rsidRDefault="00042617">
      <w:pPr>
        <w:widowControl w:val="0"/>
        <w:tabs>
          <w:tab w:val="left" w:pos="432"/>
          <w:tab w:val="left" w:pos="869"/>
          <w:tab w:val="left" w:pos="1321"/>
        </w:tabs>
        <w:spacing w:after="60"/>
        <w:rPr>
          <w:b/>
        </w:rPr>
      </w:pPr>
      <w:r w:rsidRPr="00D15774">
        <w:rPr>
          <w:b/>
        </w:rPr>
        <w:t>3)  Pneumatic controllers</w:t>
      </w:r>
    </w:p>
    <w:p w:rsidR="00042617" w:rsidRPr="00D15774" w:rsidRDefault="00042617">
      <w:pPr>
        <w:widowControl w:val="0"/>
        <w:tabs>
          <w:tab w:val="left" w:pos="432"/>
          <w:tab w:val="left" w:pos="869"/>
          <w:tab w:val="left" w:pos="1321"/>
        </w:tabs>
        <w:spacing w:after="60"/>
        <w:ind w:left="869" w:hanging="437"/>
      </w:pPr>
      <w:r w:rsidRPr="00D15774">
        <w:t>○</w:t>
      </w:r>
      <w:r w:rsidRPr="00D15774">
        <w:tab/>
        <w:t>Pneumatic controllers are automated instruments used for maintaining a condition such as</w:t>
      </w:r>
      <w:r w:rsidR="00581669" w:rsidRPr="00D15774">
        <w:t xml:space="preserve"> liquid level, pressure</w:t>
      </w:r>
      <w:r w:rsidRPr="00D15774">
        <w:t xml:space="preserve"> and temperature at wells, gas processing plants, compressor stations, among other locations.  These controllers often are powered by high-pressure </w:t>
      </w:r>
      <w:r w:rsidRPr="00D15774">
        <w:lastRenderedPageBreak/>
        <w:t>natural gas.  These gas-driven pneumatic controllers may release natural gas (including VOCs and methane) with every valve movement, or continuously in some cases.</w:t>
      </w:r>
    </w:p>
    <w:p w:rsidR="00042617" w:rsidRPr="00D15774" w:rsidRDefault="004A30CF">
      <w:pPr>
        <w:widowControl w:val="0"/>
        <w:tabs>
          <w:tab w:val="left" w:pos="432"/>
          <w:tab w:val="left" w:pos="869"/>
          <w:tab w:val="left" w:pos="1321"/>
        </w:tabs>
        <w:spacing w:after="60"/>
        <w:ind w:left="869" w:hanging="437"/>
      </w:pPr>
      <w:r w:rsidRPr="00D15774">
        <w:t>○</w:t>
      </w:r>
      <w:r w:rsidRPr="00D15774">
        <w:tab/>
        <w:t>EPA has</w:t>
      </w:r>
      <w:r w:rsidR="00042617" w:rsidRPr="00D15774">
        <w:t xml:space="preserve"> </w:t>
      </w:r>
      <w:r w:rsidRPr="00D15774">
        <w:t xml:space="preserve">established </w:t>
      </w:r>
      <w:r w:rsidR="00042617" w:rsidRPr="00D15774">
        <w:t>VOC emission limits for pneumatic controllers.</w:t>
      </w:r>
    </w:p>
    <w:p w:rsidR="00042617" w:rsidRPr="00D15774" w:rsidRDefault="00042617">
      <w:pPr>
        <w:widowControl w:val="0"/>
        <w:tabs>
          <w:tab w:val="left" w:pos="432"/>
          <w:tab w:val="left" w:pos="869"/>
          <w:tab w:val="left" w:pos="1321"/>
        </w:tabs>
        <w:spacing w:after="60"/>
        <w:ind w:left="869" w:hanging="437"/>
      </w:pPr>
      <w:r w:rsidRPr="00D15774">
        <w:t>○</w:t>
      </w:r>
      <w:r w:rsidRPr="00D15774">
        <w:tab/>
      </w:r>
      <w:r w:rsidR="00F00522" w:rsidRPr="00D15774">
        <w:t xml:space="preserve">For </w:t>
      </w:r>
      <w:r w:rsidRPr="00D15774">
        <w:t xml:space="preserve">new or </w:t>
      </w:r>
      <w:r w:rsidR="004A30CF" w:rsidRPr="00D15774">
        <w:t>modified</w:t>
      </w:r>
      <w:r w:rsidRPr="00D15774">
        <w:t xml:space="preserve"> pneumatic controllers at gas processing plants</w:t>
      </w:r>
      <w:r w:rsidR="004A30CF" w:rsidRPr="00D15774">
        <w:t xml:space="preserve"> (constructed or modified after August 23, 2011)</w:t>
      </w:r>
      <w:r w:rsidRPr="00D15774">
        <w:t xml:space="preserve"> the </w:t>
      </w:r>
      <w:r w:rsidR="004A30CF" w:rsidRPr="00D15774">
        <w:t>rule</w:t>
      </w:r>
      <w:r w:rsidRPr="00D15774">
        <w:t xml:space="preserve"> </w:t>
      </w:r>
      <w:r w:rsidR="004A30CF" w:rsidRPr="00D15774">
        <w:t>requires owners/operators to</w:t>
      </w:r>
      <w:r w:rsidRPr="00D15774">
        <w:t xml:space="preserve"> </w:t>
      </w:r>
      <w:r w:rsidR="004A30CF" w:rsidRPr="00D15774">
        <w:t>completely e</w:t>
      </w:r>
      <w:r w:rsidRPr="00D15774">
        <w:t>liminate VOC emissions.  Th</w:t>
      </w:r>
      <w:r w:rsidR="004A30CF" w:rsidRPr="00D15774">
        <w:t>is</w:t>
      </w:r>
      <w:r w:rsidRPr="00D15774">
        <w:t xml:space="preserve"> limit could be met through using </w:t>
      </w:r>
      <w:r w:rsidR="004A30CF" w:rsidRPr="00D15774">
        <w:t xml:space="preserve">no bleed </w:t>
      </w:r>
      <w:r w:rsidRPr="00D15774">
        <w:t xml:space="preserve">controllers </w:t>
      </w:r>
      <w:r w:rsidR="004A30CF" w:rsidRPr="00D15774">
        <w:t xml:space="preserve">or controllers </w:t>
      </w:r>
      <w:r w:rsidRPr="00D15774">
        <w:t xml:space="preserve">that are not </w:t>
      </w:r>
      <w:r w:rsidR="00FE600B" w:rsidRPr="00D15774">
        <w:t xml:space="preserve">natural </w:t>
      </w:r>
      <w:r w:rsidRPr="00D15774">
        <w:t>gas</w:t>
      </w:r>
      <w:r w:rsidR="00FE600B" w:rsidRPr="00D15774">
        <w:t xml:space="preserve"> </w:t>
      </w:r>
      <w:r w:rsidRPr="00D15774">
        <w:t>driven.</w:t>
      </w:r>
    </w:p>
    <w:p w:rsidR="00042617" w:rsidRPr="00D15774" w:rsidRDefault="00042617">
      <w:pPr>
        <w:widowControl w:val="0"/>
        <w:tabs>
          <w:tab w:val="left" w:pos="432"/>
          <w:tab w:val="left" w:pos="869"/>
          <w:tab w:val="left" w:pos="1321"/>
        </w:tabs>
        <w:spacing w:after="60"/>
        <w:ind w:left="869" w:hanging="437"/>
      </w:pPr>
      <w:r w:rsidRPr="00D15774">
        <w:t>○</w:t>
      </w:r>
      <w:r w:rsidRPr="00D15774">
        <w:tab/>
      </w:r>
      <w:r w:rsidR="00F00522" w:rsidRPr="00D15774">
        <w:t xml:space="preserve">For </w:t>
      </w:r>
      <w:r w:rsidRPr="00D15774">
        <w:t>controllers used at site</w:t>
      </w:r>
      <w:r w:rsidR="004A30CF" w:rsidRPr="00D15774">
        <w:t>s other than gas processing plants</w:t>
      </w:r>
      <w:r w:rsidRPr="00D15774">
        <w:t xml:space="preserve">, such as compressor stations, the emission limit </w:t>
      </w:r>
      <w:r w:rsidR="004A30CF" w:rsidRPr="00D15774">
        <w:t xml:space="preserve">requires use of low bleed controllers </w:t>
      </w:r>
      <w:r w:rsidRPr="00D15774">
        <w:t xml:space="preserve">that emit no more than six cubic feet of gas per hour. </w:t>
      </w:r>
    </w:p>
    <w:p w:rsidR="0006500C" w:rsidRPr="00D15774" w:rsidRDefault="00F00522" w:rsidP="0006500C">
      <w:pPr>
        <w:widowControl w:val="0"/>
        <w:tabs>
          <w:tab w:val="left" w:pos="432"/>
          <w:tab w:val="left" w:pos="869"/>
          <w:tab w:val="left" w:pos="1321"/>
        </w:tabs>
        <w:spacing w:after="60"/>
        <w:ind w:left="869" w:hanging="437"/>
      </w:pPr>
      <w:r w:rsidRPr="00D15774">
        <w:t>○</w:t>
      </w:r>
      <w:r w:rsidRPr="00D15774">
        <w:tab/>
        <w:t xml:space="preserve">This </w:t>
      </w:r>
      <w:r w:rsidR="00F23749" w:rsidRPr="00D15774">
        <w:t>rule</w:t>
      </w:r>
      <w:r w:rsidR="00042617" w:rsidRPr="00D15774">
        <w:t xml:space="preserve"> include</w:t>
      </w:r>
      <w:r w:rsidR="00F23749" w:rsidRPr="00D15774">
        <w:t>s</w:t>
      </w:r>
      <w:r w:rsidR="00042617" w:rsidRPr="00D15774">
        <w:t xml:space="preserve"> exceptions in applications requiring h</w:t>
      </w:r>
      <w:r w:rsidR="00F23749" w:rsidRPr="00D15774">
        <w:t>igh bleed controllers</w:t>
      </w:r>
      <w:r w:rsidR="00042617" w:rsidRPr="00D15774">
        <w:t xml:space="preserve"> for certain purposes, </w:t>
      </w:r>
      <w:r w:rsidR="00F23749" w:rsidRPr="00D15774">
        <w:t>such as</w:t>
      </w:r>
      <w:r w:rsidR="00042617" w:rsidRPr="00D15774">
        <w:t xml:space="preserve"> operational requirements and safety.</w:t>
      </w:r>
      <w:r w:rsidR="0006500C" w:rsidRPr="00D15774">
        <w:t xml:space="preserve"> </w:t>
      </w:r>
    </w:p>
    <w:p w:rsidR="00042617" w:rsidRPr="00D15774" w:rsidRDefault="0006500C">
      <w:pPr>
        <w:widowControl w:val="0"/>
        <w:tabs>
          <w:tab w:val="left" w:pos="432"/>
          <w:tab w:val="left" w:pos="869"/>
          <w:tab w:val="left" w:pos="1321"/>
        </w:tabs>
        <w:spacing w:after="60"/>
        <w:ind w:left="869" w:hanging="437"/>
      </w:pPr>
      <w:r w:rsidRPr="00D15774">
        <w:t>○</w:t>
      </w:r>
      <w:r w:rsidRPr="00D15774">
        <w:tab/>
        <w:t>Th</w:t>
      </w:r>
      <w:r w:rsidR="00F00522" w:rsidRPr="00D15774">
        <w:t>e</w:t>
      </w:r>
      <w:r w:rsidRPr="00D15774">
        <w:t xml:space="preserve"> rules for compressors and pneumatic controllers apply only to the </w:t>
      </w:r>
      <w:r w:rsidRPr="00D15774">
        <w:rPr>
          <w:b/>
          <w:i/>
        </w:rPr>
        <w:t>production and processing segment</w:t>
      </w:r>
      <w:r w:rsidRPr="00D15774">
        <w:t xml:space="preserve"> of the industry, because the rule did not finalize requirements </w:t>
      </w:r>
      <w:r w:rsidRPr="00D15774">
        <w:rPr>
          <w:b/>
          <w:bCs/>
          <w:i/>
          <w:iCs/>
        </w:rPr>
        <w:t>transmission segment</w:t>
      </w:r>
      <w:r w:rsidRPr="00D15774">
        <w:rPr>
          <w:bCs/>
          <w:iCs/>
        </w:rPr>
        <w:t xml:space="preserve"> of this industry.  EPA </w:t>
      </w:r>
      <w:r w:rsidRPr="00D15774">
        <w:t>concluded it needed additional information in order to set cost-effective standards for compressors in this transmission segment, where VOC content of the gas generally is low.</w:t>
      </w:r>
    </w:p>
    <w:p w:rsidR="00581669" w:rsidRPr="00D15774" w:rsidRDefault="00581669">
      <w:pPr>
        <w:widowControl w:val="0"/>
        <w:tabs>
          <w:tab w:val="left" w:pos="432"/>
          <w:tab w:val="left" w:pos="869"/>
          <w:tab w:val="left" w:pos="1321"/>
        </w:tabs>
        <w:spacing w:after="60"/>
        <w:ind w:left="869" w:hanging="437"/>
      </w:pPr>
    </w:p>
    <w:p w:rsidR="00172E50" w:rsidRPr="00D15774" w:rsidRDefault="00042617" w:rsidP="00172E50">
      <w:pPr>
        <w:widowControl w:val="0"/>
        <w:tabs>
          <w:tab w:val="left" w:pos="432"/>
          <w:tab w:val="left" w:pos="869"/>
          <w:tab w:val="left" w:pos="1321"/>
        </w:tabs>
        <w:spacing w:after="60"/>
        <w:ind w:left="869" w:hanging="437"/>
      </w:pPr>
      <w:r w:rsidRPr="00D15774">
        <w:rPr>
          <w:b/>
        </w:rPr>
        <w:t>4)  Condensate and crude oil storage tanks</w:t>
      </w:r>
      <w:r w:rsidR="00172E50" w:rsidRPr="00D15774">
        <w:t xml:space="preserve"> </w:t>
      </w:r>
    </w:p>
    <w:p w:rsidR="00172E50" w:rsidRPr="00D15774" w:rsidRDefault="00172E50" w:rsidP="00172E50">
      <w:pPr>
        <w:widowControl w:val="0"/>
        <w:tabs>
          <w:tab w:val="left" w:pos="432"/>
          <w:tab w:val="left" w:pos="869"/>
          <w:tab w:val="left" w:pos="1321"/>
        </w:tabs>
        <w:spacing w:after="60"/>
        <w:ind w:left="869" w:hanging="437"/>
      </w:pPr>
      <w:r w:rsidRPr="00D15774">
        <w:t>○</w:t>
      </w:r>
      <w:r w:rsidRPr="00D15774">
        <w:tab/>
        <w:t xml:space="preserve">A revision to the 2012 NSPS for storage tanks was issued on August. 2, 2013 </w:t>
      </w:r>
    </w:p>
    <w:p w:rsidR="00172E50" w:rsidRPr="00D15774" w:rsidRDefault="00172E50" w:rsidP="00172E50">
      <w:pPr>
        <w:widowControl w:val="0"/>
        <w:tabs>
          <w:tab w:val="left" w:pos="432"/>
          <w:tab w:val="left" w:pos="869"/>
          <w:tab w:val="left" w:pos="1321"/>
        </w:tabs>
        <w:spacing w:after="60"/>
        <w:ind w:left="869" w:hanging="437"/>
      </w:pPr>
      <w:r w:rsidRPr="00D15774">
        <w:t>○</w:t>
      </w:r>
      <w:r w:rsidRPr="00D15774">
        <w:tab/>
      </w:r>
      <w:r w:rsidR="00CE1E5F" w:rsidRPr="00D15774">
        <w:t>T</w:t>
      </w:r>
      <w:r w:rsidRPr="00D15774">
        <w:t>he EPA publish</w:t>
      </w:r>
      <w:r w:rsidR="00CE1E5F" w:rsidRPr="00D15774">
        <w:t>ed</w:t>
      </w:r>
      <w:r w:rsidRPr="00D15774">
        <w:t xml:space="preserve"> the amendments in the Federal Register</w:t>
      </w:r>
      <w:r w:rsidR="00CE1E5F" w:rsidRPr="00D15774">
        <w:t xml:space="preserve"> on September 23, 2013.</w:t>
      </w:r>
    </w:p>
    <w:p w:rsidR="00172E50" w:rsidRPr="00D15774" w:rsidRDefault="00042617" w:rsidP="00172E50">
      <w:pPr>
        <w:widowControl w:val="0"/>
        <w:tabs>
          <w:tab w:val="left" w:pos="432"/>
          <w:tab w:val="left" w:pos="869"/>
          <w:tab w:val="left" w:pos="1321"/>
        </w:tabs>
        <w:spacing w:after="60"/>
        <w:ind w:left="869" w:hanging="437"/>
      </w:pPr>
      <w:r w:rsidRPr="00D15774">
        <w:t>○</w:t>
      </w:r>
      <w:r w:rsidRPr="00D15774">
        <w:tab/>
        <w:t xml:space="preserve">Tanks </w:t>
      </w:r>
      <w:r w:rsidR="00F23749" w:rsidRPr="00D15774">
        <w:t>constructed or modified after August 23, 2011, with</w:t>
      </w:r>
      <w:r w:rsidR="00FE600B" w:rsidRPr="00D15774">
        <w:t xml:space="preserve"> </w:t>
      </w:r>
      <w:r w:rsidRPr="00D15774">
        <w:t xml:space="preserve">6 </w:t>
      </w:r>
      <w:r w:rsidR="0059687A" w:rsidRPr="00D15774">
        <w:t>tpy</w:t>
      </w:r>
      <w:r w:rsidRPr="00D15774">
        <w:t xml:space="preserve"> of VOC </w:t>
      </w:r>
      <w:r w:rsidR="0006500C" w:rsidRPr="00D15774">
        <w:t>of uncontrolled e</w:t>
      </w:r>
      <w:r w:rsidRPr="00D15774">
        <w:t>missions</w:t>
      </w:r>
      <w:r w:rsidR="0006500C" w:rsidRPr="00D15774">
        <w:t>,</w:t>
      </w:r>
      <w:r w:rsidRPr="00D15774">
        <w:t xml:space="preserve"> must reduce VOC emissions by 95 percent.</w:t>
      </w:r>
      <w:r w:rsidR="00172E50" w:rsidRPr="00D15774">
        <w:t xml:space="preserve"> </w:t>
      </w:r>
    </w:p>
    <w:p w:rsidR="002F4175" w:rsidRPr="00D15774" w:rsidRDefault="00172E50" w:rsidP="002F4175">
      <w:pPr>
        <w:widowControl w:val="0"/>
        <w:tabs>
          <w:tab w:val="left" w:pos="432"/>
          <w:tab w:val="left" w:pos="869"/>
          <w:tab w:val="left" w:pos="1321"/>
        </w:tabs>
        <w:spacing w:after="60"/>
        <w:ind w:left="869" w:hanging="437"/>
      </w:pPr>
      <w:r w:rsidRPr="00D15774">
        <w:t>○</w:t>
      </w:r>
      <w:r w:rsidRPr="00D15774">
        <w:tab/>
        <w:t xml:space="preserve">The </w:t>
      </w:r>
      <w:r w:rsidR="002F4175" w:rsidRPr="00D15774">
        <w:t xml:space="preserve">August </w:t>
      </w:r>
      <w:r w:rsidR="002A4655" w:rsidRPr="00D15774">
        <w:t>2, 2</w:t>
      </w:r>
      <w:r w:rsidR="005C116D" w:rsidRPr="00D15774">
        <w:t>013</w:t>
      </w:r>
      <w:r w:rsidR="002F4175" w:rsidRPr="00D15774">
        <w:t xml:space="preserve"> revision phases in the date by which storage tanks must install VOC controls</w:t>
      </w:r>
      <w:r w:rsidRPr="00D15774">
        <w:t>.</w:t>
      </w:r>
      <w:r w:rsidR="002F4175" w:rsidRPr="00D15774">
        <w:t xml:space="preserve"> </w:t>
      </w:r>
    </w:p>
    <w:p w:rsidR="002F4175" w:rsidRPr="00D15774" w:rsidRDefault="002F4175" w:rsidP="002F4175">
      <w:pPr>
        <w:widowControl w:val="0"/>
        <w:tabs>
          <w:tab w:val="left" w:pos="432"/>
          <w:tab w:val="left" w:pos="869"/>
          <w:tab w:val="left" w:pos="1321"/>
        </w:tabs>
        <w:spacing w:after="60"/>
        <w:ind w:left="869" w:hanging="437"/>
      </w:pPr>
      <w:r w:rsidRPr="00D15774">
        <w:t>○</w:t>
      </w:r>
      <w:r w:rsidRPr="00D15774">
        <w:tab/>
      </w:r>
      <w:r w:rsidRPr="00D15774">
        <w:rPr>
          <w:b/>
          <w:bCs/>
        </w:rPr>
        <w:t xml:space="preserve">April 15, 2015 </w:t>
      </w:r>
      <w:r w:rsidRPr="00D15774">
        <w:t xml:space="preserve">is the compliance deadline for tanks constructed between Aug. 23, 2011, and April 12, 2013 (known as Group 1 tanks). </w:t>
      </w:r>
      <w:r w:rsidR="00002C37" w:rsidRPr="00D15774">
        <w:t xml:space="preserve"> </w:t>
      </w:r>
      <w:r w:rsidRPr="00D15774">
        <w:t>Owners/operators of Group 1 tanks have until Oct</w:t>
      </w:r>
      <w:r w:rsidR="00803E6F" w:rsidRPr="00D15774">
        <w:t>ober</w:t>
      </w:r>
      <w:r w:rsidRPr="00D15774">
        <w:t xml:space="preserve"> 15, 2013 to estimate their tanks’ potential emissions and determine whether their tanks are subject to the rule</w:t>
      </w:r>
      <w:r w:rsidR="00803E6F" w:rsidRPr="00D15774">
        <w:t>.</w:t>
      </w:r>
      <w:r w:rsidR="00807AAD" w:rsidRPr="00D15774">
        <w:t xml:space="preserve">  If a tank’s potential emissions are 6 or more tons of VOCs per year, the owner/operator has to control VOC emissions by April 15, 2015.</w:t>
      </w:r>
    </w:p>
    <w:p w:rsidR="002F4175" w:rsidRPr="00D15774" w:rsidRDefault="00803E6F" w:rsidP="002F4175">
      <w:pPr>
        <w:widowControl w:val="0"/>
        <w:tabs>
          <w:tab w:val="left" w:pos="432"/>
          <w:tab w:val="left" w:pos="869"/>
          <w:tab w:val="left" w:pos="1321"/>
        </w:tabs>
        <w:spacing w:after="60"/>
        <w:ind w:left="869" w:hanging="437"/>
      </w:pPr>
      <w:r w:rsidRPr="00D15774">
        <w:t>○</w:t>
      </w:r>
      <w:r w:rsidRPr="00D15774">
        <w:tab/>
      </w:r>
      <w:r w:rsidRPr="00D15774">
        <w:rPr>
          <w:b/>
          <w:bCs/>
        </w:rPr>
        <w:t xml:space="preserve">April 15, 2014 </w:t>
      </w:r>
      <w:r w:rsidRPr="00D15774">
        <w:t xml:space="preserve">is the compliance deadline for tanks constructed after April 12, 2013 (known as Group 2 tanks), or within 60 days after startup, whichever is later. Owners/operators of Group 2 tanks have 30 days to estimate their tanks’ potential emissions and determine whether their tanks are subject to the rule.  </w:t>
      </w:r>
      <w:r w:rsidR="00CF2FF3" w:rsidRPr="00D15774">
        <w:t>For tanks constructed after February 14, 2014, i</w:t>
      </w:r>
      <w:r w:rsidRPr="00D15774">
        <w:t>f a tank’s potential emissions are 6 or more tons of VOCs per year, the owner/operator</w:t>
      </w:r>
      <w:r w:rsidR="00CF2FF3" w:rsidRPr="00D15774">
        <w:t xml:space="preserve"> </w:t>
      </w:r>
      <w:r w:rsidRPr="00D15774">
        <w:t>has an additional 30 days to control VOC emissions</w:t>
      </w:r>
      <w:r w:rsidR="00CF2FF3" w:rsidRPr="00D15774">
        <w:t>.</w:t>
      </w:r>
    </w:p>
    <w:p w:rsidR="00D15774" w:rsidRDefault="002A4655" w:rsidP="00DA30CA">
      <w:pPr>
        <w:widowControl w:val="0"/>
        <w:tabs>
          <w:tab w:val="left" w:pos="432"/>
          <w:tab w:val="left" w:pos="869"/>
          <w:tab w:val="left" w:pos="1321"/>
        </w:tabs>
        <w:spacing w:after="60"/>
        <w:ind w:left="869" w:hanging="437"/>
      </w:pPr>
      <w:r w:rsidRPr="00D15774">
        <w:t>○</w:t>
      </w:r>
      <w:r w:rsidRPr="00D15774">
        <w:tab/>
        <w:t xml:space="preserve">EPA also established an alternative emissions limit for storage tanks that allows owners/operators to either 1) reduce VOC emissions at a tank by 95 percent, as required in the 2012 rule; or 2) demonstrate that emissions from a tank have dropped to less than </w:t>
      </w:r>
      <w:r w:rsidRPr="00D15774">
        <w:lastRenderedPageBreak/>
        <w:t>4 tons per year of VOCs without emission controls</w:t>
      </w:r>
      <w:r w:rsidR="002555DC" w:rsidRPr="00D15774">
        <w:t xml:space="preserve"> for 12 consecutive months</w:t>
      </w:r>
      <w:r w:rsidRPr="00D15774">
        <w:t>.</w:t>
      </w:r>
    </w:p>
    <w:p w:rsidR="00DA30CA" w:rsidRDefault="00DA30CA" w:rsidP="00DA30CA">
      <w:pPr>
        <w:widowControl w:val="0"/>
        <w:tabs>
          <w:tab w:val="left" w:pos="432"/>
          <w:tab w:val="left" w:pos="869"/>
          <w:tab w:val="left" w:pos="1321"/>
        </w:tabs>
        <w:spacing w:after="60"/>
        <w:ind w:left="869" w:hanging="437"/>
      </w:pPr>
    </w:p>
    <w:p w:rsidR="00F57256" w:rsidRPr="00D15774" w:rsidRDefault="000A2DB0" w:rsidP="00F57256">
      <w:pPr>
        <w:widowControl w:val="0"/>
        <w:tabs>
          <w:tab w:val="left" w:pos="432"/>
          <w:tab w:val="left" w:pos="869"/>
          <w:tab w:val="left" w:pos="1321"/>
        </w:tabs>
        <w:spacing w:after="60"/>
        <w:rPr>
          <w:b/>
        </w:rPr>
      </w:pPr>
      <w:r w:rsidRPr="00D15774">
        <w:rPr>
          <w:b/>
        </w:rPr>
        <w:tab/>
      </w:r>
      <w:r w:rsidR="00042617" w:rsidRPr="00D15774">
        <w:rPr>
          <w:b/>
        </w:rPr>
        <w:t>5)  Natural gas processing plants</w:t>
      </w:r>
    </w:p>
    <w:p w:rsidR="00FC328E" w:rsidRDefault="00F57256" w:rsidP="004240A4">
      <w:pPr>
        <w:widowControl w:val="0"/>
        <w:tabs>
          <w:tab w:val="left" w:pos="432"/>
          <w:tab w:val="left" w:pos="869"/>
          <w:tab w:val="left" w:pos="1321"/>
        </w:tabs>
        <w:spacing w:after="60"/>
        <w:ind w:left="869" w:hanging="437"/>
      </w:pPr>
      <w:r w:rsidRPr="00D15774">
        <w:t>○</w:t>
      </w:r>
      <w:r w:rsidRPr="00D15774">
        <w:tab/>
      </w:r>
      <w:r w:rsidR="004240A4" w:rsidRPr="00D15774">
        <w:t xml:space="preserve">EPA revised the existing </w:t>
      </w:r>
      <w:r w:rsidR="00C57717" w:rsidRPr="00D15774">
        <w:t xml:space="preserve">Leak Detection and Repair (LDAR) provisions of </w:t>
      </w:r>
      <w:r w:rsidR="004240A4" w:rsidRPr="00D15774">
        <w:t>NSPS Subpart KKK for natural gas processing plants to reduce VOC emissions.  The action revises KKK to reflect the procedures and leak thresholds established in NSPS Subpart VVa (Equipment Leaks of VOCs in the Synthetic Organic Chemicals Manufacturing Industry</w:t>
      </w:r>
      <w:r w:rsidR="004240A4" w:rsidRPr="00D15774">
        <w:rPr>
          <w:szCs w:val="24"/>
        </w:rPr>
        <w:t>).  Thus it lowers the leak definition threshold from 10,000 ppm to 500 pp</w:t>
      </w:r>
      <w:r w:rsidR="0043445C" w:rsidRPr="00D15774">
        <w:rPr>
          <w:szCs w:val="24"/>
        </w:rPr>
        <w:t>m VOC</w:t>
      </w:r>
      <w:r w:rsidR="004240A4" w:rsidRPr="00D15774">
        <w:rPr>
          <w:szCs w:val="24"/>
        </w:rPr>
        <w:t xml:space="preserve">, and in addition to valves, requires the monitoring of </w:t>
      </w:r>
      <w:r w:rsidR="009B26E2" w:rsidRPr="00D15774">
        <w:rPr>
          <w:szCs w:val="24"/>
        </w:rPr>
        <w:t xml:space="preserve">other components including </w:t>
      </w:r>
      <w:r w:rsidR="004240A4" w:rsidRPr="00D15774">
        <w:t>connectors, pumps, pressure relief devices and open-ended valves or lines</w:t>
      </w:r>
      <w:r w:rsidR="004240A4" w:rsidRPr="00D15774">
        <w:rPr>
          <w:color w:val="000000"/>
        </w:rPr>
        <w:t xml:space="preserve">. </w:t>
      </w:r>
      <w:r w:rsidR="00090D93" w:rsidRPr="00D15774">
        <w:rPr>
          <w:color w:val="000000"/>
        </w:rPr>
        <w:t>The EPA</w:t>
      </w:r>
      <w:r w:rsidR="00090D93" w:rsidRPr="00D15774">
        <w:t xml:space="preserve"> incorporated all changes into Subpart OOOO.</w:t>
      </w:r>
    </w:p>
    <w:p w:rsidR="00FC328E" w:rsidRPr="00D15774" w:rsidRDefault="00FC328E" w:rsidP="004240A4">
      <w:pPr>
        <w:widowControl w:val="0"/>
        <w:tabs>
          <w:tab w:val="left" w:pos="432"/>
          <w:tab w:val="left" w:pos="869"/>
          <w:tab w:val="left" w:pos="1321"/>
        </w:tabs>
        <w:spacing w:after="60"/>
        <w:ind w:left="869" w:hanging="437"/>
        <w:rPr>
          <w:color w:val="000000"/>
          <w:szCs w:val="24"/>
        </w:rPr>
      </w:pPr>
    </w:p>
    <w:p w:rsidR="00042617" w:rsidRPr="00D15774" w:rsidRDefault="00042617" w:rsidP="00DA30CA">
      <w:pPr>
        <w:pStyle w:val="Heading4"/>
        <w:jc w:val="center"/>
        <w:rPr>
          <w:rFonts w:ascii="Times New Roman" w:hAnsi="Times New Roman" w:cs="Times New Roman"/>
          <w:color w:val="auto"/>
        </w:rPr>
      </w:pPr>
      <w:bookmarkStart w:id="27" w:name="_Toc369086989"/>
      <w:r w:rsidRPr="00D15774">
        <w:rPr>
          <w:rFonts w:ascii="Times New Roman" w:hAnsi="Times New Roman" w:cs="Times New Roman"/>
          <w:color w:val="auto"/>
        </w:rPr>
        <w:t xml:space="preserve">New Source Performance Standards </w:t>
      </w:r>
      <w:r w:rsidR="00AD5824" w:rsidRPr="00D15774">
        <w:rPr>
          <w:rFonts w:ascii="Times New Roman" w:hAnsi="Times New Roman" w:cs="Times New Roman"/>
          <w:color w:val="auto"/>
        </w:rPr>
        <w:t xml:space="preserve">(Subpart OOOO) </w:t>
      </w:r>
      <w:r w:rsidRPr="00D15774">
        <w:rPr>
          <w:rFonts w:ascii="Times New Roman" w:hAnsi="Times New Roman" w:cs="Times New Roman"/>
          <w:color w:val="auto"/>
        </w:rPr>
        <w:t>for Sulfur Dioxide</w:t>
      </w:r>
      <w:bookmarkEnd w:id="27"/>
      <w:r w:rsidR="00E21C92" w:rsidRPr="00D15774">
        <w:rPr>
          <w:rFonts w:ascii="Times New Roman" w:hAnsi="Times New Roman" w:cs="Times New Roman"/>
          <w:color w:val="auto"/>
        </w:rPr>
        <w:fldChar w:fldCharType="begin"/>
      </w:r>
      <w:r w:rsidRPr="00D15774">
        <w:rPr>
          <w:rFonts w:ascii="Times New Roman" w:hAnsi="Times New Roman" w:cs="Times New Roman"/>
          <w:color w:val="auto"/>
        </w:rPr>
        <w:instrText xml:space="preserve"> TC \l3 "</w:instrText>
      </w:r>
      <w:bookmarkStart w:id="28" w:name="_Toc363192317"/>
      <w:r w:rsidRPr="00D15774">
        <w:rPr>
          <w:rFonts w:ascii="Times New Roman" w:hAnsi="Times New Roman" w:cs="Times New Roman"/>
          <w:color w:val="auto"/>
        </w:rPr>
        <w:instrText>New Source Performance Standards for Sulfur Dioxide</w:instrText>
      </w:r>
      <w:bookmarkEnd w:id="28"/>
      <w:r w:rsidR="00E21C92" w:rsidRPr="00D15774">
        <w:rPr>
          <w:rFonts w:ascii="Times New Roman" w:hAnsi="Times New Roman" w:cs="Times New Roman"/>
          <w:color w:val="auto"/>
        </w:rPr>
        <w:fldChar w:fldCharType="end"/>
      </w:r>
    </w:p>
    <w:p w:rsidR="00042617" w:rsidRPr="00D15774" w:rsidRDefault="00042617">
      <w:pPr>
        <w:keepLines/>
        <w:widowControl w:val="0"/>
      </w:pPr>
    </w:p>
    <w:p w:rsidR="00042617" w:rsidRPr="00D15774" w:rsidRDefault="00042617">
      <w:pPr>
        <w:keepLines/>
        <w:widowControl w:val="0"/>
      </w:pPr>
      <w:r w:rsidRPr="00D15774">
        <w:t xml:space="preserve">The </w:t>
      </w:r>
      <w:r w:rsidR="002E7F74" w:rsidRPr="00D15774">
        <w:t>original New Source Performance S</w:t>
      </w:r>
      <w:r w:rsidRPr="00D15774">
        <w:t>tandards for sulfur dioxide (SO</w:t>
      </w:r>
      <w:r w:rsidRPr="00D15774">
        <w:rPr>
          <w:vertAlign w:val="subscript"/>
        </w:rPr>
        <w:t>2</w:t>
      </w:r>
      <w:r w:rsidRPr="00D15774">
        <w:t>) were issued in</w:t>
      </w:r>
      <w:r w:rsidR="00A75E0C" w:rsidRPr="00D15774">
        <w:t xml:space="preserve"> </w:t>
      </w:r>
      <w:r w:rsidRPr="00D15774">
        <w:t xml:space="preserve">1985 under Subpart LLL and apply to natural gas processing plants.  </w:t>
      </w:r>
      <w:r w:rsidR="00AD5824" w:rsidRPr="00D15774">
        <w:t xml:space="preserve">Revisions were incorporated into the new Subpart OOOO as follows.  </w:t>
      </w:r>
      <w:r w:rsidRPr="00D15774">
        <w:t xml:space="preserve">The </w:t>
      </w:r>
      <w:r w:rsidR="0007546A" w:rsidRPr="00D15774">
        <w:t>EPA</w:t>
      </w:r>
      <w:r w:rsidRPr="00D15774">
        <w:t xml:space="preserve"> strengthen</w:t>
      </w:r>
      <w:r w:rsidR="007636B5" w:rsidRPr="00D15774">
        <w:t>ed</w:t>
      </w:r>
      <w:r w:rsidRPr="00D15774">
        <w:t xml:space="preserve"> the performance standards for plants processing gas with </w:t>
      </w:r>
      <w:r w:rsidR="006A5F9B" w:rsidRPr="00D15774">
        <w:t>sulfur feed of at least 5 long tons per day</w:t>
      </w:r>
      <w:r w:rsidR="00897F8B" w:rsidRPr="00D15774">
        <w:t xml:space="preserve"> in order to further reduce sulfur dioxide emissions from these facilities. </w:t>
      </w:r>
      <w:r w:rsidR="007636B5" w:rsidRPr="00D15774">
        <w:t xml:space="preserve"> </w:t>
      </w:r>
      <w:r w:rsidR="00897F8B" w:rsidRPr="00D15774">
        <w:t xml:space="preserve">The control level was raised </w:t>
      </w:r>
      <w:r w:rsidR="007636B5" w:rsidRPr="00D15774">
        <w:t xml:space="preserve">from </w:t>
      </w:r>
      <w:r w:rsidR="00897F8B" w:rsidRPr="00D15774">
        <w:t xml:space="preserve">the old level of </w:t>
      </w:r>
      <w:r w:rsidR="007636B5" w:rsidRPr="00D15774">
        <w:t>99.8%, now up to 99.9%</w:t>
      </w:r>
      <w:r w:rsidR="00090D93" w:rsidRPr="00D15774">
        <w:t xml:space="preserve">.  </w:t>
      </w:r>
      <w:r w:rsidR="00090D93" w:rsidRPr="00D15774">
        <w:rPr>
          <w:color w:val="000000"/>
        </w:rPr>
        <w:t>The EPA</w:t>
      </w:r>
      <w:r w:rsidR="00090D93" w:rsidRPr="00D15774">
        <w:t xml:space="preserve"> incorporated all changes into Subpart OOOO.</w:t>
      </w:r>
      <w:r w:rsidRPr="00D15774">
        <w:t xml:space="preserve"> </w:t>
      </w:r>
    </w:p>
    <w:p w:rsidR="00042617" w:rsidRPr="00D15774" w:rsidRDefault="00042617">
      <w:pPr>
        <w:widowControl w:val="0"/>
      </w:pPr>
      <w:r w:rsidRPr="00D15774">
        <w:t xml:space="preserve"> </w:t>
      </w:r>
    </w:p>
    <w:p w:rsidR="00042617" w:rsidRPr="00DA30CA" w:rsidRDefault="00042617" w:rsidP="000B0BB8">
      <w:pPr>
        <w:pStyle w:val="Heading3"/>
        <w:rPr>
          <w:rFonts w:ascii="Times New Roman" w:hAnsi="Times New Roman" w:cs="Times New Roman"/>
          <w:b/>
          <w:color w:val="auto"/>
        </w:rPr>
      </w:pPr>
      <w:bookmarkStart w:id="29" w:name="_Toc369086990"/>
      <w:r w:rsidRPr="00DA30CA">
        <w:rPr>
          <w:rFonts w:ascii="Times New Roman" w:hAnsi="Times New Roman" w:cs="Times New Roman"/>
          <w:b/>
          <w:color w:val="auto"/>
        </w:rPr>
        <w:t xml:space="preserve">b.  Summary of </w:t>
      </w:r>
      <w:r w:rsidR="006B3125" w:rsidRPr="00DA30CA">
        <w:rPr>
          <w:rFonts w:ascii="Times New Roman" w:hAnsi="Times New Roman" w:cs="Times New Roman"/>
          <w:b/>
          <w:color w:val="auto"/>
        </w:rPr>
        <w:t>Adopted</w:t>
      </w:r>
      <w:r w:rsidRPr="00DA30CA">
        <w:rPr>
          <w:rFonts w:ascii="Times New Roman" w:hAnsi="Times New Roman" w:cs="Times New Roman"/>
          <w:b/>
          <w:color w:val="auto"/>
        </w:rPr>
        <w:t xml:space="preserve"> National Emissions Standards for Hazardous Air Pollutants</w:t>
      </w:r>
      <w:bookmarkEnd w:id="29"/>
      <w:r w:rsidR="00E21C92" w:rsidRPr="00DA30CA">
        <w:rPr>
          <w:rFonts w:ascii="Times New Roman" w:hAnsi="Times New Roman" w:cs="Times New Roman"/>
          <w:b/>
          <w:color w:val="auto"/>
        </w:rPr>
        <w:fldChar w:fldCharType="begin"/>
      </w:r>
      <w:r w:rsidRPr="00DA30CA">
        <w:rPr>
          <w:rFonts w:ascii="Times New Roman" w:hAnsi="Times New Roman" w:cs="Times New Roman"/>
          <w:b/>
          <w:color w:val="auto"/>
        </w:rPr>
        <w:instrText xml:space="preserve"> TC \l2 "</w:instrText>
      </w:r>
      <w:bookmarkStart w:id="30" w:name="_Toc363192318"/>
      <w:r w:rsidRPr="00DA30CA">
        <w:rPr>
          <w:rFonts w:ascii="Times New Roman" w:hAnsi="Times New Roman" w:cs="Times New Roman"/>
          <w:b/>
          <w:color w:val="auto"/>
        </w:rPr>
        <w:instrText>b.  Summary of Proposed National Emissions Standards for Hazardous Air Pollutants</w:instrText>
      </w:r>
      <w:bookmarkEnd w:id="30"/>
      <w:r w:rsidR="00E21C92" w:rsidRPr="00DA30CA">
        <w:rPr>
          <w:rFonts w:ascii="Times New Roman" w:hAnsi="Times New Roman" w:cs="Times New Roman"/>
          <w:b/>
          <w:color w:val="auto"/>
        </w:rPr>
        <w:fldChar w:fldCharType="end"/>
      </w:r>
    </w:p>
    <w:p w:rsidR="00042617" w:rsidRPr="00D15774" w:rsidRDefault="00042617">
      <w:pPr>
        <w:widowControl w:val="0"/>
      </w:pPr>
    </w:p>
    <w:p w:rsidR="00042617" w:rsidRDefault="00042617">
      <w:pPr>
        <w:widowControl w:val="0"/>
        <w:spacing w:line="300" w:lineRule="auto"/>
      </w:pPr>
      <w:r w:rsidRPr="00D15774">
        <w:t>Air toxics are pollutants known to, or suspected of causing cancer and other serious health effects.  EPA reviewed both the air toxics standards for</w:t>
      </w:r>
      <w:r w:rsidR="00897F8B" w:rsidRPr="00D15774">
        <w:t xml:space="preserve"> the</w:t>
      </w:r>
      <w:r w:rsidRPr="00D15774">
        <w:t xml:space="preserve"> </w:t>
      </w:r>
      <w:r w:rsidRPr="00D15774">
        <w:rPr>
          <w:b/>
          <w:i/>
        </w:rPr>
        <w:t>oil and natural gas productio</w:t>
      </w:r>
      <w:r w:rsidR="00897F8B" w:rsidRPr="00D15774">
        <w:rPr>
          <w:b/>
          <w:i/>
        </w:rPr>
        <w:t>n segment</w:t>
      </w:r>
      <w:r w:rsidRPr="00D15774">
        <w:t xml:space="preserve"> </w:t>
      </w:r>
      <w:r w:rsidR="008F7E35" w:rsidRPr="00D15774">
        <w:t xml:space="preserve">(NESHAPS Subpart HH) </w:t>
      </w:r>
      <w:r w:rsidRPr="00D15774">
        <w:t xml:space="preserve">and </w:t>
      </w:r>
      <w:r w:rsidR="008F7E35" w:rsidRPr="00D15774">
        <w:t xml:space="preserve">for </w:t>
      </w:r>
      <w:r w:rsidRPr="00D15774">
        <w:t xml:space="preserve">the </w:t>
      </w:r>
      <w:r w:rsidRPr="00D15774">
        <w:rPr>
          <w:b/>
          <w:i/>
        </w:rPr>
        <w:t>natural gas transmission and storag</w:t>
      </w:r>
      <w:r w:rsidR="00897F8B" w:rsidRPr="00D15774">
        <w:rPr>
          <w:b/>
          <w:i/>
        </w:rPr>
        <w:t>e segment</w:t>
      </w:r>
      <w:r w:rsidR="008F7E35" w:rsidRPr="00D15774">
        <w:rPr>
          <w:i/>
        </w:rPr>
        <w:t xml:space="preserve"> </w:t>
      </w:r>
      <w:r w:rsidR="008F7E35" w:rsidRPr="00D15774">
        <w:t>NESHAPS Subpart HHH).</w:t>
      </w:r>
      <w:r w:rsidRPr="00D15774">
        <w:t xml:space="preserve">  Both of the </w:t>
      </w:r>
      <w:r w:rsidR="00AD7B1E" w:rsidRPr="00D15774">
        <w:t xml:space="preserve">original </w:t>
      </w:r>
      <w:r w:rsidRPr="00D15774">
        <w:t>existing standards were issued in 1999.</w:t>
      </w:r>
    </w:p>
    <w:p w:rsidR="00042617" w:rsidRPr="00D15774" w:rsidRDefault="00042617" w:rsidP="00DA30CA">
      <w:pPr>
        <w:pStyle w:val="Heading4"/>
        <w:jc w:val="center"/>
        <w:rPr>
          <w:rFonts w:ascii="Times New Roman" w:hAnsi="Times New Roman" w:cs="Times New Roman"/>
          <w:color w:val="auto"/>
        </w:rPr>
      </w:pPr>
      <w:bookmarkStart w:id="31" w:name="_Toc369086991"/>
      <w:r w:rsidRPr="00D15774">
        <w:rPr>
          <w:rFonts w:ascii="Times New Roman" w:hAnsi="Times New Roman" w:cs="Times New Roman"/>
          <w:color w:val="auto"/>
        </w:rPr>
        <w:t>NESHAP Standards for Oil &amp; Natural Gas Productio</w:t>
      </w:r>
      <w:r w:rsidR="00EE481A" w:rsidRPr="00D15774">
        <w:rPr>
          <w:rFonts w:ascii="Times New Roman" w:hAnsi="Times New Roman" w:cs="Times New Roman"/>
          <w:color w:val="auto"/>
        </w:rPr>
        <w:t>n (Subpart HH)</w:t>
      </w:r>
      <w:bookmarkEnd w:id="31"/>
      <w:r w:rsidR="00E21C92" w:rsidRPr="00D15774">
        <w:rPr>
          <w:rFonts w:ascii="Times New Roman" w:hAnsi="Times New Roman" w:cs="Times New Roman"/>
          <w:color w:val="auto"/>
        </w:rPr>
        <w:fldChar w:fldCharType="begin"/>
      </w:r>
      <w:r w:rsidRPr="00D15774">
        <w:rPr>
          <w:rFonts w:ascii="Times New Roman" w:hAnsi="Times New Roman" w:cs="Times New Roman"/>
          <w:color w:val="auto"/>
        </w:rPr>
        <w:instrText xml:space="preserve"> TC \l3 "</w:instrText>
      </w:r>
      <w:bookmarkStart w:id="32" w:name="_Toc363192319"/>
      <w:r w:rsidRPr="00D15774">
        <w:rPr>
          <w:rFonts w:ascii="Times New Roman" w:hAnsi="Times New Roman" w:cs="Times New Roman"/>
          <w:color w:val="auto"/>
        </w:rPr>
        <w:instrText>NESHAPS Standards for Oil &amp; Natural Gas Production</w:instrText>
      </w:r>
      <w:bookmarkEnd w:id="32"/>
      <w:r w:rsidR="00E21C92" w:rsidRPr="00D15774">
        <w:rPr>
          <w:rFonts w:ascii="Times New Roman" w:hAnsi="Times New Roman" w:cs="Times New Roman"/>
          <w:color w:val="auto"/>
        </w:rPr>
        <w:fldChar w:fldCharType="end"/>
      </w:r>
    </w:p>
    <w:p w:rsidR="00042617" w:rsidRPr="00D15774" w:rsidRDefault="00042617">
      <w:pPr>
        <w:widowControl w:val="0"/>
        <w:spacing w:line="300" w:lineRule="auto"/>
        <w:rPr>
          <w:i/>
        </w:rPr>
      </w:pPr>
    </w:p>
    <w:p w:rsidR="00042617" w:rsidRPr="00D15774" w:rsidRDefault="00042617">
      <w:pPr>
        <w:widowControl w:val="0"/>
        <w:spacing w:line="300" w:lineRule="auto"/>
      </w:pPr>
      <w:r w:rsidRPr="00D15774">
        <w:t xml:space="preserve">EPA’s </w:t>
      </w:r>
      <w:r w:rsidR="00264582" w:rsidRPr="00D15774">
        <w:t xml:space="preserve">revised </w:t>
      </w:r>
      <w:r w:rsidRPr="00D15774">
        <w:t xml:space="preserve">risk </w:t>
      </w:r>
      <w:r w:rsidR="00264582" w:rsidRPr="00D15774">
        <w:t>analysis for the Oil and Natural Gas Production source category MACT standard found</w:t>
      </w:r>
      <w:r w:rsidRPr="00D15774">
        <w:t xml:space="preserve"> that</w:t>
      </w:r>
      <w:r w:rsidR="00264582" w:rsidRPr="00D15774">
        <w:rPr>
          <w:color w:val="000000"/>
          <w:szCs w:val="24"/>
        </w:rPr>
        <w:t xml:space="preserve"> approximately 120,000 people are estimated to have cancer risks at or above 1-in-1 million, </w:t>
      </w:r>
      <w:r w:rsidRPr="00D15774">
        <w:t>which falls within a range EPA considers acceptable.</w:t>
      </w:r>
      <w:r w:rsidR="00264582" w:rsidRPr="00D15774">
        <w:t xml:space="preserve">  </w:t>
      </w:r>
      <w:r w:rsidRPr="00D15774">
        <w:t xml:space="preserve">EPA </w:t>
      </w:r>
      <w:r w:rsidR="00264582" w:rsidRPr="00D15774">
        <w:t xml:space="preserve">previously proposed to </w:t>
      </w:r>
      <w:r w:rsidRPr="00D15774">
        <w:t>remove the 1 ton per year benzene compliance option for large glycol dehydrators (</w:t>
      </w:r>
      <w:r w:rsidR="00897F8B" w:rsidRPr="00D15774">
        <w:t xml:space="preserve">glycol dehydrators are equipment </w:t>
      </w:r>
      <w:r w:rsidRPr="00D15774">
        <w:t>used to remove excess water vapor from natural gas</w:t>
      </w:r>
      <w:r w:rsidR="00264582" w:rsidRPr="00D15774">
        <w:t>) but with the revised risk analysis, the final rule retained this 1 TPY option for</w:t>
      </w:r>
      <w:r w:rsidRPr="00D15774">
        <w:t xml:space="preserve"> large dehydrators</w:t>
      </w:r>
      <w:r w:rsidR="00264582" w:rsidRPr="00D15774">
        <w:t>.  If annual benzene emissions don’t meet the 1 TPY threshold, the</w:t>
      </w:r>
      <w:r w:rsidR="00AD7B1E" w:rsidRPr="00D15774">
        <w:t>n</w:t>
      </w:r>
      <w:r w:rsidR="00264582" w:rsidRPr="00D15774">
        <w:t xml:space="preserve"> </w:t>
      </w:r>
      <w:r w:rsidR="00264582" w:rsidRPr="00D15774">
        <w:rPr>
          <w:b/>
          <w:u w:val="single"/>
        </w:rPr>
        <w:t>lar</w:t>
      </w:r>
      <w:r w:rsidR="00604190" w:rsidRPr="00D15774">
        <w:rPr>
          <w:b/>
          <w:u w:val="single"/>
        </w:rPr>
        <w:t>ge</w:t>
      </w:r>
      <w:r w:rsidR="00604190" w:rsidRPr="00D15774">
        <w:t xml:space="preserve"> dehydrator</w:t>
      </w:r>
      <w:r w:rsidR="008F7E35" w:rsidRPr="00D15774">
        <w:t xml:space="preserve">s </w:t>
      </w:r>
      <w:r w:rsidRPr="00D15774">
        <w:t>would have to reduce air toxics their emissions by 95 percent</w:t>
      </w:r>
      <w:r w:rsidR="00604190" w:rsidRPr="00D15774">
        <w:t>.</w:t>
      </w:r>
    </w:p>
    <w:p w:rsidR="00042617" w:rsidRPr="00D15774" w:rsidRDefault="00042617">
      <w:pPr>
        <w:widowControl w:val="0"/>
        <w:spacing w:line="300" w:lineRule="auto"/>
      </w:pPr>
    </w:p>
    <w:p w:rsidR="00042617" w:rsidRPr="00D15774" w:rsidRDefault="00373639">
      <w:pPr>
        <w:widowControl w:val="0"/>
        <w:spacing w:after="240" w:line="300" w:lineRule="auto"/>
      </w:pPr>
      <w:r w:rsidRPr="00D15774">
        <w:t>In addition, EPA</w:t>
      </w:r>
      <w:r w:rsidR="00042617" w:rsidRPr="00D15774">
        <w:t>:</w:t>
      </w:r>
    </w:p>
    <w:p w:rsidR="00042617" w:rsidRPr="00D15774" w:rsidRDefault="00042617">
      <w:pPr>
        <w:widowControl w:val="0"/>
        <w:spacing w:after="240" w:line="300" w:lineRule="auto"/>
        <w:ind w:left="432" w:hanging="432"/>
        <w:rPr>
          <w:szCs w:val="24"/>
        </w:rPr>
      </w:pPr>
      <w:r w:rsidRPr="00D15774">
        <w:t>1)</w:t>
      </w:r>
      <w:r w:rsidRPr="00D15774">
        <w:tab/>
        <w:t>Establish</w:t>
      </w:r>
      <w:r w:rsidR="00373639" w:rsidRPr="00D15774">
        <w:t>ed</w:t>
      </w:r>
      <w:r w:rsidRPr="00D15774">
        <w:t xml:space="preserve"> </w:t>
      </w:r>
      <w:r w:rsidR="009A7F75" w:rsidRPr="00D15774">
        <w:t>Benzene/Toluene/Ethylbenzene/</w:t>
      </w:r>
      <w:r w:rsidR="00BB6D3A" w:rsidRPr="00D15774">
        <w:t xml:space="preserve">Xylene </w:t>
      </w:r>
      <w:r w:rsidR="009A7F75" w:rsidRPr="00D15774">
        <w:t xml:space="preserve">(BTEX) </w:t>
      </w:r>
      <w:r w:rsidRPr="00D15774">
        <w:t xml:space="preserve">emission limits for </w:t>
      </w:r>
      <w:r w:rsidRPr="00D15774">
        <w:rPr>
          <w:b/>
          <w:u w:val="single"/>
        </w:rPr>
        <w:t>small</w:t>
      </w:r>
      <w:r w:rsidRPr="00D15774">
        <w:t xml:space="preserve"> glycol dehydrators</w:t>
      </w:r>
      <w:r w:rsidR="005748FB" w:rsidRPr="00D15774">
        <w:t>.  Under Subpart HH a</w:t>
      </w:r>
      <w:r w:rsidR="00F343E2" w:rsidRPr="00D15774">
        <w:t xml:space="preserve"> dehydrator</w:t>
      </w:r>
      <w:r w:rsidR="00373639" w:rsidRPr="00D15774">
        <w:t xml:space="preserve"> in the </w:t>
      </w:r>
      <w:r w:rsidR="00373639" w:rsidRPr="00D15774">
        <w:rPr>
          <w:b/>
          <w:i/>
        </w:rPr>
        <w:t>oil and natural gas production segment</w:t>
      </w:r>
      <w:r w:rsidR="00F343E2" w:rsidRPr="00D15774">
        <w:t xml:space="preserve"> </w:t>
      </w:r>
      <w:r w:rsidR="009A7F75" w:rsidRPr="00D15774">
        <w:t>is</w:t>
      </w:r>
      <w:r w:rsidRPr="00D15774">
        <w:t xml:space="preserve"> considered small </w:t>
      </w:r>
      <w:r w:rsidR="005748FB" w:rsidRPr="00D15774">
        <w:t>if</w:t>
      </w:r>
      <w:r w:rsidRPr="00D15774">
        <w:t xml:space="preserve"> it has an annual average natural gas throughput of less than </w:t>
      </w:r>
      <w:r w:rsidR="00ED4F7C" w:rsidRPr="00D15774">
        <w:t xml:space="preserve">85,000 standard cubic meters per day (approximately </w:t>
      </w:r>
      <w:r w:rsidR="00373639" w:rsidRPr="00D15774">
        <w:t>3</w:t>
      </w:r>
      <w:r w:rsidRPr="00D15774">
        <w:t xml:space="preserve"> million cubic feet</w:t>
      </w:r>
      <w:r w:rsidR="00EE481A" w:rsidRPr="00D15774">
        <w:t xml:space="preserve"> per day</w:t>
      </w:r>
      <w:r w:rsidR="00ED4F7C" w:rsidRPr="00D15774">
        <w:t>)</w:t>
      </w:r>
      <w:r w:rsidR="00EE481A" w:rsidRPr="00D15774">
        <w:t xml:space="preserve"> or if </w:t>
      </w:r>
      <w:r w:rsidR="00106E0E" w:rsidRPr="00D15774">
        <w:t xml:space="preserve">it has </w:t>
      </w:r>
      <w:r w:rsidRPr="00D15774">
        <w:t xml:space="preserve">actual annual average benzene emissions of less than </w:t>
      </w:r>
      <w:r w:rsidR="00ED4F7C" w:rsidRPr="00D15774">
        <w:t>0.9 megagrams</w:t>
      </w:r>
      <w:r w:rsidR="00EE481A" w:rsidRPr="00D15774">
        <w:t xml:space="preserve"> </w:t>
      </w:r>
      <w:r w:rsidR="00ED4F7C" w:rsidRPr="00D15774">
        <w:t xml:space="preserve">per year (approximately </w:t>
      </w:r>
      <w:r w:rsidRPr="00D15774">
        <w:t xml:space="preserve">1 </w:t>
      </w:r>
      <w:r w:rsidR="0007546A" w:rsidRPr="00D15774">
        <w:t>tpy</w:t>
      </w:r>
      <w:r w:rsidR="00373639" w:rsidRPr="00D15774">
        <w:t xml:space="preserve">).  </w:t>
      </w:r>
      <w:r w:rsidR="00CE3139" w:rsidRPr="00D15774">
        <w:t xml:space="preserve">The BTEX emission </w:t>
      </w:r>
      <w:r w:rsidR="00CE3139" w:rsidRPr="00D15774">
        <w:rPr>
          <w:szCs w:val="24"/>
        </w:rPr>
        <w:t xml:space="preserve">limits are </w:t>
      </w:r>
      <w:r w:rsidR="00CE3139" w:rsidRPr="00D15774">
        <w:rPr>
          <w:color w:val="000000"/>
          <w:szCs w:val="24"/>
        </w:rPr>
        <w:t>4.66 E-6 grams BTEX/scm-ppmv (for new units) or 3.28 E-4 grams BTEX/scm-ppmv (for existing units).</w:t>
      </w:r>
    </w:p>
    <w:p w:rsidR="00300D42" w:rsidRPr="00D15774" w:rsidRDefault="00042617" w:rsidP="004B3B20">
      <w:pPr>
        <w:keepLines/>
        <w:widowControl w:val="0"/>
        <w:spacing w:after="240" w:line="300" w:lineRule="auto"/>
        <w:ind w:left="432" w:hanging="432"/>
      </w:pPr>
      <w:r w:rsidRPr="00D15774">
        <w:t>2)</w:t>
      </w:r>
      <w:r w:rsidRPr="00D15774">
        <w:tab/>
        <w:t>Require</w:t>
      </w:r>
      <w:r w:rsidR="00300D42" w:rsidRPr="00D15774">
        <w:t>s</w:t>
      </w:r>
      <w:r w:rsidRPr="00D15774">
        <w:t xml:space="preserve"> all crude oil and condensate tanks at major sources to control their air toxics by at least 95 percent.  In addition, emissions from the</w:t>
      </w:r>
      <w:r w:rsidR="00F343E2" w:rsidRPr="00D15774">
        <w:t>se tanks will be counted toward</w:t>
      </w:r>
      <w:r w:rsidRPr="00D15774">
        <w:t xml:space="preserve"> determining whether a facility is a major source</w:t>
      </w:r>
      <w:r w:rsidR="00AB2666" w:rsidRPr="00D15774">
        <w:t xml:space="preserve">.  By way of explanation, </w:t>
      </w:r>
      <w:r w:rsidR="008F7E35" w:rsidRPr="00D15774">
        <w:t xml:space="preserve">previous to this action </w:t>
      </w:r>
      <w:r w:rsidR="00AB2666" w:rsidRPr="00D15774">
        <w:t xml:space="preserve">there </w:t>
      </w:r>
      <w:r w:rsidR="008F7E35" w:rsidRPr="00D15774">
        <w:t>we</w:t>
      </w:r>
      <w:r w:rsidR="00AB2666" w:rsidRPr="00D15774">
        <w:t>re only requirements for control/counting tanks with the Potential for Flash Emissions (PFE)</w:t>
      </w:r>
      <w:r w:rsidR="008F7E35" w:rsidRPr="00D15774">
        <w:t>.  T</w:t>
      </w:r>
      <w:r w:rsidR="00AB2666" w:rsidRPr="00D15774">
        <w:t>his action extend</w:t>
      </w:r>
      <w:r w:rsidR="008F7E35" w:rsidRPr="00D15774">
        <w:t>s</w:t>
      </w:r>
      <w:r w:rsidR="00AB2666" w:rsidRPr="00D15774">
        <w:t xml:space="preserve"> that requirement to those tanks without PFE (non-flashing tanks </w:t>
      </w:r>
      <w:r w:rsidR="00897F8B" w:rsidRPr="00D15774">
        <w:t xml:space="preserve">that </w:t>
      </w:r>
      <w:r w:rsidR="0007546A" w:rsidRPr="00D15774">
        <w:t xml:space="preserve">only </w:t>
      </w:r>
      <w:r w:rsidR="00897F8B" w:rsidRPr="00D15774">
        <w:t xml:space="preserve">have VOC emissions from </w:t>
      </w:r>
      <w:r w:rsidR="0007546A" w:rsidRPr="00D15774">
        <w:t>working &amp; b</w:t>
      </w:r>
      <w:r w:rsidR="00AB2666" w:rsidRPr="00D15774">
        <w:t xml:space="preserve">reathing </w:t>
      </w:r>
      <w:r w:rsidR="0007546A" w:rsidRPr="00D15774">
        <w:t>l</w:t>
      </w:r>
      <w:r w:rsidR="00AB2666" w:rsidRPr="00D15774">
        <w:t>osses</w:t>
      </w:r>
      <w:r w:rsidR="006B6E78" w:rsidRPr="00D15774">
        <w:t>)</w:t>
      </w:r>
      <w:r w:rsidRPr="00D15774">
        <w:t>.</w:t>
      </w:r>
      <w:r w:rsidR="004B3B20" w:rsidRPr="00D15774">
        <w:t xml:space="preserve"> </w:t>
      </w:r>
    </w:p>
    <w:p w:rsidR="009A7F75" w:rsidRPr="00D15774" w:rsidRDefault="00042617" w:rsidP="009A7F75">
      <w:pPr>
        <w:widowControl w:val="0"/>
        <w:spacing w:after="240" w:line="300" w:lineRule="auto"/>
        <w:ind w:left="432" w:hanging="432"/>
      </w:pPr>
      <w:r w:rsidRPr="00D15774">
        <w:t>3)</w:t>
      </w:r>
      <w:r w:rsidRPr="00D15774">
        <w:tab/>
        <w:t>Tighten</w:t>
      </w:r>
      <w:r w:rsidR="00147228" w:rsidRPr="00D15774">
        <w:t>ed</w:t>
      </w:r>
      <w:r w:rsidRPr="00D15774">
        <w:t xml:space="preserve"> the definition of a leak for valves at natural gas processing plant</w:t>
      </w:r>
      <w:r w:rsidR="009A7F75" w:rsidRPr="00D15774">
        <w:t>s to 500 parts per million (ppm)</w:t>
      </w:r>
      <w:r w:rsidRPr="00D15774">
        <w:t>.</w:t>
      </w:r>
    </w:p>
    <w:p w:rsidR="00042617" w:rsidRPr="00D15774" w:rsidRDefault="00042617">
      <w:pPr>
        <w:widowControl w:val="0"/>
        <w:spacing w:after="240" w:line="300" w:lineRule="auto"/>
      </w:pPr>
      <w:r w:rsidRPr="00D15774">
        <w:t xml:space="preserve">The changes to this rule do not apply to sources that are considered “area sources,” meaning they have fewer than 10 tons a year of emissions of a single air toxic and less than 25 tons a year of a combination of toxics.  Standards for these </w:t>
      </w:r>
      <w:r w:rsidR="008F7E35" w:rsidRPr="00D15774">
        <w:t xml:space="preserve">area </w:t>
      </w:r>
      <w:r w:rsidRPr="00D15774">
        <w:t>sources were issued in 2007.</w:t>
      </w:r>
    </w:p>
    <w:p w:rsidR="00DA30CA" w:rsidRDefault="00042617" w:rsidP="00DA30CA">
      <w:pPr>
        <w:pStyle w:val="Heading4"/>
        <w:jc w:val="center"/>
        <w:rPr>
          <w:rFonts w:ascii="Times New Roman" w:hAnsi="Times New Roman" w:cs="Times New Roman"/>
          <w:color w:val="auto"/>
        </w:rPr>
      </w:pPr>
      <w:bookmarkStart w:id="33" w:name="_Toc369086992"/>
      <w:r w:rsidRPr="00D15774">
        <w:rPr>
          <w:rFonts w:ascii="Times New Roman" w:hAnsi="Times New Roman" w:cs="Times New Roman"/>
          <w:color w:val="auto"/>
        </w:rPr>
        <w:t>NESHAP Standards for Natural Gas Transmission and Storag</w:t>
      </w:r>
      <w:r w:rsidR="00EE481A" w:rsidRPr="00D15774">
        <w:rPr>
          <w:rFonts w:ascii="Times New Roman" w:hAnsi="Times New Roman" w:cs="Times New Roman"/>
          <w:color w:val="auto"/>
        </w:rPr>
        <w:t>e (Subpart HHH)</w:t>
      </w:r>
      <w:bookmarkEnd w:id="33"/>
    </w:p>
    <w:p w:rsidR="00042617" w:rsidRPr="00D15774" w:rsidRDefault="00E21C92" w:rsidP="000B0BB8">
      <w:pPr>
        <w:pStyle w:val="Heading4"/>
        <w:rPr>
          <w:rFonts w:ascii="Times New Roman" w:hAnsi="Times New Roman" w:cs="Times New Roman"/>
        </w:rPr>
      </w:pPr>
      <w:r w:rsidRPr="00D15774">
        <w:rPr>
          <w:rFonts w:ascii="Times New Roman" w:hAnsi="Times New Roman" w:cs="Times New Roman"/>
        </w:rPr>
        <w:fldChar w:fldCharType="begin"/>
      </w:r>
      <w:r w:rsidR="00042617" w:rsidRPr="00D15774">
        <w:rPr>
          <w:rFonts w:ascii="Times New Roman" w:hAnsi="Times New Roman" w:cs="Times New Roman"/>
        </w:rPr>
        <w:instrText xml:space="preserve"> TC \l3 "</w:instrText>
      </w:r>
      <w:bookmarkStart w:id="34" w:name="_Toc363192320"/>
      <w:r w:rsidR="00042617" w:rsidRPr="00D15774">
        <w:rPr>
          <w:rFonts w:ascii="Times New Roman" w:hAnsi="Times New Roman" w:cs="Times New Roman"/>
        </w:rPr>
        <w:instrText>NESHAPS Standards for Natural Gas Transmission and Storage</w:instrText>
      </w:r>
      <w:bookmarkEnd w:id="34"/>
      <w:r w:rsidRPr="00D15774">
        <w:rPr>
          <w:rFonts w:ascii="Times New Roman" w:hAnsi="Times New Roman" w:cs="Times New Roman"/>
        </w:rPr>
        <w:fldChar w:fldCharType="end"/>
      </w:r>
    </w:p>
    <w:p w:rsidR="00CE3139" w:rsidRPr="00D15774" w:rsidRDefault="00825E2C" w:rsidP="00825E2C">
      <w:pPr>
        <w:widowControl w:val="0"/>
        <w:spacing w:after="240" w:line="300" w:lineRule="auto"/>
        <w:rPr>
          <w:color w:val="000000"/>
          <w:szCs w:val="24"/>
        </w:rPr>
      </w:pPr>
      <w:r w:rsidRPr="00D15774">
        <w:t xml:space="preserve">In its revision to Subpart HHH, EPA established Benzene/Toluene/Ethylbenzene/Xylene (BTEX) emission limits for </w:t>
      </w:r>
      <w:r w:rsidRPr="00D15774">
        <w:rPr>
          <w:b/>
          <w:u w:val="single"/>
        </w:rPr>
        <w:t>small</w:t>
      </w:r>
      <w:r w:rsidRPr="00D15774">
        <w:t xml:space="preserve"> glycol dehydrators.  Under Subpart HHH a dehydrator in the </w:t>
      </w:r>
      <w:r w:rsidRPr="00D15774">
        <w:rPr>
          <w:b/>
          <w:i/>
        </w:rPr>
        <w:t>natural gas transmission and storage segment</w:t>
      </w:r>
      <w:r w:rsidRPr="00D15774">
        <w:t xml:space="preserve"> a glycol dehydrator is considered small if it has an annual average natural gas throughput of less than 283,000 standard cubic meters per day (approximately 10 million cubic feet per day) or if it has actual annual average benzene emissions of less than 0.9 megagrams per year (approximately 1 tpy)</w:t>
      </w:r>
      <w:r w:rsidR="005748FB" w:rsidRPr="00D15774">
        <w:t>.</w:t>
      </w:r>
      <w:r w:rsidR="00CE3139" w:rsidRPr="00D15774">
        <w:t xml:space="preserve"> The BTEX emission </w:t>
      </w:r>
      <w:r w:rsidR="00CE3139" w:rsidRPr="00D15774">
        <w:rPr>
          <w:szCs w:val="24"/>
        </w:rPr>
        <w:t xml:space="preserve">limits are </w:t>
      </w:r>
      <w:r w:rsidR="00CE3139" w:rsidRPr="00D15774">
        <w:rPr>
          <w:color w:val="000000"/>
          <w:szCs w:val="24"/>
        </w:rPr>
        <w:t>5.44x10 E-5</w:t>
      </w:r>
      <w:r w:rsidR="00CE3139" w:rsidRPr="00D15774">
        <w:rPr>
          <w:color w:val="000000"/>
          <w:position w:val="10"/>
          <w:szCs w:val="24"/>
          <w:vertAlign w:val="superscript"/>
        </w:rPr>
        <w:t xml:space="preserve"> </w:t>
      </w:r>
      <w:r w:rsidR="00CE3139" w:rsidRPr="00D15774">
        <w:rPr>
          <w:color w:val="000000"/>
          <w:szCs w:val="24"/>
        </w:rPr>
        <w:t>grams /scm-ppmv (for new units) or 3.10 E-4 grams BTEX/scm-ppmv (for existing units).</w:t>
      </w:r>
    </w:p>
    <w:p w:rsidR="00AD5824" w:rsidRPr="00DA30CA" w:rsidRDefault="00AD5824" w:rsidP="000B0BB8">
      <w:pPr>
        <w:pStyle w:val="Heading1"/>
        <w:rPr>
          <w:rFonts w:ascii="Times New Roman" w:hAnsi="Times New Roman" w:cs="Times New Roman"/>
          <w:b/>
          <w:color w:val="auto"/>
          <w:sz w:val="28"/>
          <w:szCs w:val="28"/>
        </w:rPr>
      </w:pPr>
      <w:bookmarkStart w:id="35" w:name="_Toc369086993"/>
      <w:r w:rsidRPr="00DA30CA">
        <w:rPr>
          <w:rFonts w:ascii="Times New Roman" w:hAnsi="Times New Roman" w:cs="Times New Roman"/>
          <w:b/>
          <w:color w:val="auto"/>
          <w:sz w:val="28"/>
          <w:szCs w:val="28"/>
        </w:rPr>
        <w:lastRenderedPageBreak/>
        <w:t>3.  REVIEW OF EPA COMBUSTION AIR REGULATIONS</w:t>
      </w:r>
      <w:bookmarkEnd w:id="35"/>
    </w:p>
    <w:p w:rsidR="00D15774" w:rsidRPr="00D15774" w:rsidRDefault="00D15774" w:rsidP="00D15774"/>
    <w:p w:rsidR="00AD5824" w:rsidRDefault="00AD5824" w:rsidP="00DA30CA">
      <w:pPr>
        <w:pStyle w:val="Heading2"/>
        <w:numPr>
          <w:ilvl w:val="0"/>
          <w:numId w:val="13"/>
        </w:numPr>
        <w:rPr>
          <w:rFonts w:ascii="Times New Roman" w:hAnsi="Times New Roman" w:cs="Times New Roman"/>
          <w:color w:val="auto"/>
        </w:rPr>
      </w:pPr>
      <w:bookmarkStart w:id="36" w:name="_Toc369086994"/>
      <w:r w:rsidRPr="00D15774">
        <w:rPr>
          <w:rFonts w:ascii="Times New Roman" w:hAnsi="Times New Roman" w:cs="Times New Roman"/>
          <w:color w:val="auto"/>
        </w:rPr>
        <w:t>NSPS Subpart Db and Dc</w:t>
      </w:r>
      <w:bookmarkEnd w:id="36"/>
      <w:r w:rsidRPr="00D15774">
        <w:rPr>
          <w:rFonts w:ascii="Times New Roman" w:hAnsi="Times New Roman" w:cs="Times New Roman"/>
          <w:color w:val="auto"/>
        </w:rPr>
        <w:t xml:space="preserve"> </w:t>
      </w:r>
    </w:p>
    <w:p w:rsidR="00DA30CA" w:rsidRPr="00DA30CA" w:rsidRDefault="00DA30CA" w:rsidP="00DA30CA"/>
    <w:p w:rsidR="00053FA2" w:rsidRPr="00D15774" w:rsidRDefault="00050B5E" w:rsidP="00D053BD">
      <w:pPr>
        <w:widowControl w:val="0"/>
        <w:spacing w:after="240" w:line="300" w:lineRule="auto"/>
        <w:rPr>
          <w:szCs w:val="24"/>
        </w:rPr>
      </w:pPr>
      <w:r w:rsidRPr="00D15774">
        <w:rPr>
          <w:szCs w:val="24"/>
        </w:rPr>
        <w:t xml:space="preserve">Subpart Db (Standards of Performance for Industrial-Commercial-Institutional Steam Generating Units) </w:t>
      </w:r>
      <w:r w:rsidR="005407D8" w:rsidRPr="00D15774">
        <w:rPr>
          <w:szCs w:val="24"/>
        </w:rPr>
        <w:t>regulates emissions from steam generating units constructed/modified after June 19, 1984, and with heat input capacity &gt;100 MMBtu/hr, while</w:t>
      </w:r>
      <w:r w:rsidRPr="00D15774">
        <w:rPr>
          <w:szCs w:val="24"/>
        </w:rPr>
        <w:t xml:space="preserve"> Subpart Dc (Standards of Performance for Small Industrial-Commercial-Institutional Steam Generating Units) </w:t>
      </w:r>
      <w:r w:rsidR="005407D8" w:rsidRPr="00D15774">
        <w:rPr>
          <w:szCs w:val="24"/>
        </w:rPr>
        <w:t>regulates emissions from steam generating units constructed/modified after June 9, 1989, and with heat input capacity between 10 - 100 MMBtu/hr.</w:t>
      </w:r>
      <w:r w:rsidR="00D053BD" w:rsidRPr="00D15774">
        <w:rPr>
          <w:szCs w:val="24"/>
        </w:rPr>
        <w:t xml:space="preserve">  Subpart Db emission standards for NOx from natural gas or distillate oil fired </w:t>
      </w:r>
      <w:r w:rsidR="009348B2" w:rsidRPr="00D15774">
        <w:rPr>
          <w:szCs w:val="24"/>
        </w:rPr>
        <w:t xml:space="preserve">boilers are </w:t>
      </w:r>
      <w:r w:rsidR="00D053BD" w:rsidRPr="00D15774">
        <w:rPr>
          <w:szCs w:val="24"/>
        </w:rPr>
        <w:t>0.1 lb/MMBtu (low heat release rate) and 0.2 lb/MMBtu (high heat release rate)</w:t>
      </w:r>
      <w:r w:rsidR="00F27DFE" w:rsidRPr="00D15774">
        <w:rPr>
          <w:szCs w:val="24"/>
        </w:rPr>
        <w:t>.  Subpart Dc has no emission standards for NOx.  T</w:t>
      </w:r>
      <w:r w:rsidR="00D053BD" w:rsidRPr="00D15774">
        <w:rPr>
          <w:szCs w:val="24"/>
        </w:rPr>
        <w:t xml:space="preserve">here are other standards for different fuels (residual oil, coal) and different burner styles (combined cycle), but these </w:t>
      </w:r>
      <w:r w:rsidR="009348B2" w:rsidRPr="00D15774">
        <w:rPr>
          <w:szCs w:val="24"/>
        </w:rPr>
        <w:t xml:space="preserve">other </w:t>
      </w:r>
      <w:r w:rsidR="00D053BD" w:rsidRPr="00D15774">
        <w:rPr>
          <w:szCs w:val="24"/>
        </w:rPr>
        <w:t>fuels and configurations are not typically found in O&amp;G field equipment.</w:t>
      </w:r>
    </w:p>
    <w:p w:rsidR="00F27DFE" w:rsidRPr="00D15774" w:rsidRDefault="00F27DFE" w:rsidP="00F27DFE">
      <w:pPr>
        <w:widowControl w:val="0"/>
        <w:spacing w:after="240" w:line="300" w:lineRule="auto"/>
        <w:rPr>
          <w:color w:val="000000"/>
        </w:rPr>
      </w:pPr>
      <w:r w:rsidRPr="00D15774">
        <w:rPr>
          <w:szCs w:val="24"/>
        </w:rPr>
        <w:t xml:space="preserve">But as stated in the August 16, 2012 Federal Register publication of the Final O&amp;G Rule, </w:t>
      </w:r>
      <w:r w:rsidRPr="00D15774">
        <w:rPr>
          <w:color w:val="000000"/>
        </w:rPr>
        <w:t>although these smaller heaters and boilers are generally within the scope of this category, most, if not all of the process heaters and boilers used in O&amp;G field operations fall below applicability thresholds for EPA’s Db and Dc boiler rules.</w:t>
      </w:r>
    </w:p>
    <w:p w:rsidR="00F27DFE" w:rsidRPr="00D15774" w:rsidRDefault="00F27DFE" w:rsidP="00D053BD">
      <w:pPr>
        <w:widowControl w:val="0"/>
        <w:spacing w:after="240" w:line="300" w:lineRule="auto"/>
        <w:rPr>
          <w:color w:val="000000"/>
        </w:rPr>
      </w:pPr>
      <w:r w:rsidRPr="00D15774">
        <w:rPr>
          <w:color w:val="000000"/>
        </w:rPr>
        <w:t xml:space="preserve">Details of these </w:t>
      </w:r>
      <w:r w:rsidR="003762E9" w:rsidRPr="00D15774">
        <w:rPr>
          <w:color w:val="000000"/>
        </w:rPr>
        <w:t xml:space="preserve">Subpart Db and Dc </w:t>
      </w:r>
      <w:r w:rsidRPr="00D15774">
        <w:rPr>
          <w:color w:val="000000"/>
        </w:rPr>
        <w:t>NSPS are found on the U.S. Government Printing Office website for the Title 40 Code of Federal Regulations at:</w:t>
      </w:r>
      <w:r w:rsidR="003762E9" w:rsidRPr="00D15774">
        <w:rPr>
          <w:color w:val="000000"/>
        </w:rPr>
        <w:t xml:space="preserve">  </w:t>
      </w:r>
      <w:hyperlink r:id="rId14" w:history="1">
        <w:r w:rsidR="009348B2" w:rsidRPr="00D15774">
          <w:rPr>
            <w:rStyle w:val="Hyperlink"/>
            <w:sz w:val="24"/>
            <w:szCs w:val="20"/>
          </w:rPr>
          <w:t>http://www.ecfr.gov/cgi-bin/text-idx?SID=d262c561c7c8fe0534dff0978ef9eb71&amp;tpl=/ecfrbrowse/Title40/40tab_02.tpl</w:t>
        </w:r>
      </w:hyperlink>
    </w:p>
    <w:p w:rsidR="00AD5824" w:rsidRDefault="00AD5824" w:rsidP="00DA30CA">
      <w:pPr>
        <w:pStyle w:val="Heading2"/>
        <w:numPr>
          <w:ilvl w:val="0"/>
          <w:numId w:val="13"/>
        </w:numPr>
        <w:rPr>
          <w:rFonts w:ascii="Times New Roman" w:hAnsi="Times New Roman" w:cs="Times New Roman"/>
          <w:color w:val="auto"/>
        </w:rPr>
      </w:pPr>
      <w:bookmarkStart w:id="37" w:name="_Toc369086995"/>
      <w:r w:rsidRPr="00D15774">
        <w:rPr>
          <w:rFonts w:ascii="Times New Roman" w:hAnsi="Times New Roman" w:cs="Times New Roman"/>
          <w:color w:val="auto"/>
        </w:rPr>
        <w:t>NSPS Subpart IIII</w:t>
      </w:r>
      <w:bookmarkEnd w:id="37"/>
      <w:r w:rsidRPr="00D15774">
        <w:rPr>
          <w:rFonts w:ascii="Times New Roman" w:hAnsi="Times New Roman" w:cs="Times New Roman"/>
          <w:color w:val="auto"/>
        </w:rPr>
        <w:t xml:space="preserve"> </w:t>
      </w:r>
    </w:p>
    <w:p w:rsidR="00DA30CA" w:rsidRPr="00DA30CA" w:rsidRDefault="00DA30CA" w:rsidP="00DA30CA"/>
    <w:p w:rsidR="00194095" w:rsidRPr="00D15774" w:rsidRDefault="00E06DA1" w:rsidP="00194095">
      <w:pPr>
        <w:widowControl w:val="0"/>
        <w:spacing w:after="240" w:line="300" w:lineRule="auto"/>
        <w:rPr>
          <w:szCs w:val="24"/>
        </w:rPr>
      </w:pPr>
      <w:r w:rsidRPr="00D15774">
        <w:rPr>
          <w:szCs w:val="24"/>
        </w:rPr>
        <w:t>Subpart IIII (Standards of Performance for Stationary Compression Ignition Internal Combustion Engines</w:t>
      </w:r>
      <w:r w:rsidR="00194095" w:rsidRPr="00D15774">
        <w:rPr>
          <w:szCs w:val="24"/>
        </w:rPr>
        <w:t>;</w:t>
      </w:r>
      <w:r w:rsidRPr="00D15774">
        <w:rPr>
          <w:szCs w:val="24"/>
        </w:rPr>
        <w:t xml:space="preserve"> </w:t>
      </w:r>
      <w:r w:rsidR="00194095" w:rsidRPr="00D15774">
        <w:rPr>
          <w:szCs w:val="24"/>
        </w:rPr>
        <w:t xml:space="preserve">abbreviated </w:t>
      </w:r>
      <w:r w:rsidR="003A2744" w:rsidRPr="00D15774">
        <w:rPr>
          <w:szCs w:val="24"/>
        </w:rPr>
        <w:t>as CI-</w:t>
      </w:r>
      <w:r w:rsidR="00194095" w:rsidRPr="00D15774">
        <w:rPr>
          <w:szCs w:val="24"/>
        </w:rPr>
        <w:t xml:space="preserve">ICE) </w:t>
      </w:r>
      <w:r w:rsidRPr="00D15774">
        <w:rPr>
          <w:szCs w:val="24"/>
        </w:rPr>
        <w:t>is aimed at emissions from diesel fired engines.  Diesel engines in the O&amp;G field are typically foun</w:t>
      </w:r>
      <w:r w:rsidR="00EA6E24" w:rsidRPr="00D15774">
        <w:rPr>
          <w:szCs w:val="24"/>
        </w:rPr>
        <w:t xml:space="preserve">d powering well drill rigs, electric generators or hydraulic fracturing pumps.  Because such engines are relocated fairly regularly, they are </w:t>
      </w:r>
      <w:r w:rsidR="00A40792" w:rsidRPr="00D15774">
        <w:rPr>
          <w:szCs w:val="24"/>
        </w:rPr>
        <w:t>then</w:t>
      </w:r>
      <w:r w:rsidR="00EA6E24" w:rsidRPr="00D15774">
        <w:rPr>
          <w:szCs w:val="24"/>
        </w:rPr>
        <w:t xml:space="preserve"> classified as “Nonroad Mobile Sources”</w:t>
      </w:r>
      <w:r w:rsidR="00194095" w:rsidRPr="00D15774">
        <w:rPr>
          <w:szCs w:val="24"/>
        </w:rPr>
        <w:t>.  A</w:t>
      </w:r>
      <w:r w:rsidRPr="00D15774">
        <w:rPr>
          <w:szCs w:val="24"/>
        </w:rPr>
        <w:t xml:space="preserve">s such </w:t>
      </w:r>
      <w:r w:rsidR="00194095" w:rsidRPr="00D15774">
        <w:rPr>
          <w:szCs w:val="24"/>
        </w:rPr>
        <w:t xml:space="preserve">they are </w:t>
      </w:r>
      <w:r w:rsidRPr="00D15774">
        <w:rPr>
          <w:szCs w:val="24"/>
        </w:rPr>
        <w:t>covered under</w:t>
      </w:r>
      <w:r w:rsidR="00427C09" w:rsidRPr="00D15774">
        <w:rPr>
          <w:szCs w:val="24"/>
        </w:rPr>
        <w:t xml:space="preserve"> EPA’s</w:t>
      </w:r>
      <w:r w:rsidRPr="00D15774">
        <w:rPr>
          <w:szCs w:val="24"/>
        </w:rPr>
        <w:t xml:space="preserve"> </w:t>
      </w:r>
      <w:r w:rsidR="00EA6E24" w:rsidRPr="00D15774">
        <w:rPr>
          <w:szCs w:val="24"/>
        </w:rPr>
        <w:t>Mobile Source Rules.  But if a diesel engine is permanently located (</w:t>
      </w:r>
      <w:r w:rsidR="00112FCC" w:rsidRPr="00D15774">
        <w:rPr>
          <w:szCs w:val="24"/>
        </w:rPr>
        <w:t xml:space="preserve">stationary such that it </w:t>
      </w:r>
      <w:r w:rsidR="00EA6E24" w:rsidRPr="00D15774">
        <w:rPr>
          <w:szCs w:val="24"/>
        </w:rPr>
        <w:t xml:space="preserve">stays in one place for a year or more), then it is covered </w:t>
      </w:r>
      <w:r w:rsidR="009F79C9" w:rsidRPr="00D15774">
        <w:rPr>
          <w:szCs w:val="24"/>
        </w:rPr>
        <w:t xml:space="preserve">by </w:t>
      </w:r>
      <w:r w:rsidR="00EA6E24" w:rsidRPr="00D15774">
        <w:rPr>
          <w:szCs w:val="24"/>
        </w:rPr>
        <w:t>Subpart IIII.</w:t>
      </w:r>
    </w:p>
    <w:p w:rsidR="00F96D60" w:rsidRPr="00D15774" w:rsidRDefault="00194095" w:rsidP="00194095">
      <w:pPr>
        <w:widowControl w:val="0"/>
        <w:spacing w:after="240" w:line="300" w:lineRule="auto"/>
        <w:rPr>
          <w:szCs w:val="24"/>
        </w:rPr>
      </w:pPr>
      <w:r w:rsidRPr="00D15774">
        <w:rPr>
          <w:szCs w:val="24"/>
        </w:rPr>
        <w:t>Subpart IIII sets</w:t>
      </w:r>
      <w:r w:rsidR="007056C2" w:rsidRPr="00D15774">
        <w:rPr>
          <w:szCs w:val="24"/>
        </w:rPr>
        <w:t xml:space="preserve"> </w:t>
      </w:r>
      <w:r w:rsidR="00F96D60" w:rsidRPr="00D15774">
        <w:rPr>
          <w:color w:val="000000"/>
          <w:szCs w:val="24"/>
        </w:rPr>
        <w:t>grams/hp-hr emission standards for NOx from CI-ICE based on Model Year of the engine, broken down into 10 bins of engine capacity sized from under 11 HP up to greater than 750 HP.</w:t>
      </w:r>
    </w:p>
    <w:p w:rsidR="00112FCC" w:rsidRPr="00D15774" w:rsidRDefault="00112FCC" w:rsidP="00112FCC">
      <w:pPr>
        <w:widowControl w:val="0"/>
        <w:spacing w:after="240" w:line="300" w:lineRule="auto"/>
        <w:rPr>
          <w:rStyle w:val="Hyperlink"/>
          <w:sz w:val="24"/>
          <w:szCs w:val="20"/>
        </w:rPr>
      </w:pPr>
      <w:r w:rsidRPr="00D15774">
        <w:rPr>
          <w:color w:val="000000"/>
        </w:rPr>
        <w:lastRenderedPageBreak/>
        <w:t xml:space="preserve">Details of Subpart IIII NSPS are found on the U.S. Government Printing Office website for the Title 40 Code of Federal Regulations at:  </w:t>
      </w:r>
      <w:hyperlink r:id="rId15" w:history="1">
        <w:r w:rsidRPr="00D15774">
          <w:rPr>
            <w:rStyle w:val="Hyperlink"/>
            <w:sz w:val="24"/>
            <w:szCs w:val="20"/>
          </w:rPr>
          <w:t>http://www.ecfr.gov/cgi-bin/text-idx?c=ecfr&amp;SID=3e1e822c2995c7186d6ae658d35705da&amp;rgn=div6&amp;view=text&amp;node=40:7.0.1.1.1.97&amp;idno=40</w:t>
        </w:r>
      </w:hyperlink>
    </w:p>
    <w:p w:rsidR="00AD5824" w:rsidRPr="00DA30CA" w:rsidRDefault="00AD5824" w:rsidP="00DA30CA">
      <w:pPr>
        <w:pStyle w:val="Heading2"/>
        <w:numPr>
          <w:ilvl w:val="0"/>
          <w:numId w:val="13"/>
        </w:numPr>
        <w:rPr>
          <w:rFonts w:ascii="Times New Roman" w:hAnsi="Times New Roman" w:cs="Times New Roman"/>
          <w:color w:val="auto"/>
        </w:rPr>
      </w:pPr>
      <w:bookmarkStart w:id="38" w:name="_Toc369086996"/>
      <w:r w:rsidRPr="00D15774">
        <w:rPr>
          <w:rFonts w:ascii="Times New Roman" w:hAnsi="Times New Roman" w:cs="Times New Roman"/>
          <w:color w:val="auto"/>
        </w:rPr>
        <w:t xml:space="preserve">NSPS Subpart </w:t>
      </w:r>
      <w:r w:rsidR="00E00773" w:rsidRPr="00D15774">
        <w:rPr>
          <w:rFonts w:ascii="Times New Roman" w:hAnsi="Times New Roman" w:cs="Times New Roman"/>
          <w:color w:val="auto"/>
        </w:rPr>
        <w:t>JJJJ</w:t>
      </w:r>
      <w:bookmarkEnd w:id="38"/>
      <w:r w:rsidRPr="00DA30CA">
        <w:rPr>
          <w:rFonts w:ascii="Times New Roman" w:hAnsi="Times New Roman" w:cs="Times New Roman"/>
          <w:color w:val="auto"/>
        </w:rPr>
        <w:fldChar w:fldCharType="begin"/>
      </w:r>
      <w:r w:rsidRPr="00DA30CA">
        <w:rPr>
          <w:rFonts w:ascii="Times New Roman" w:hAnsi="Times New Roman" w:cs="Times New Roman"/>
          <w:color w:val="auto"/>
        </w:rPr>
        <w:instrText xml:space="preserve"> TC \l2 "a.  Summary of Existing State Rules</w:instrText>
      </w:r>
      <w:r w:rsidRPr="00DA30CA">
        <w:rPr>
          <w:rFonts w:ascii="Times New Roman" w:hAnsi="Times New Roman" w:cs="Times New Roman"/>
          <w:color w:val="auto"/>
        </w:rPr>
        <w:fldChar w:fldCharType="end"/>
      </w:r>
    </w:p>
    <w:p w:rsidR="00E00773" w:rsidRPr="00D15774" w:rsidRDefault="00E00773" w:rsidP="00AD5824">
      <w:pPr>
        <w:widowControl w:val="0"/>
        <w:spacing w:line="300" w:lineRule="auto"/>
        <w:rPr>
          <w:b/>
          <w:u w:val="single"/>
        </w:rPr>
      </w:pPr>
    </w:p>
    <w:p w:rsidR="00A40792" w:rsidRPr="00D15774" w:rsidRDefault="0030012E" w:rsidP="0030012E">
      <w:pPr>
        <w:widowControl w:val="0"/>
        <w:spacing w:after="240" w:line="300" w:lineRule="auto"/>
        <w:rPr>
          <w:szCs w:val="24"/>
        </w:rPr>
      </w:pPr>
      <w:r w:rsidRPr="00D15774">
        <w:rPr>
          <w:szCs w:val="24"/>
        </w:rPr>
        <w:t xml:space="preserve">Subpart JJJJ (Standards of Performance for Stationary </w:t>
      </w:r>
      <w:r w:rsidR="00F96D60" w:rsidRPr="00D15774">
        <w:rPr>
          <w:szCs w:val="24"/>
        </w:rPr>
        <w:t>Spark</w:t>
      </w:r>
      <w:r w:rsidRPr="00D15774">
        <w:rPr>
          <w:szCs w:val="24"/>
        </w:rPr>
        <w:t xml:space="preserve"> Ignition Internal Combustion Engines; abbreviated </w:t>
      </w:r>
      <w:r w:rsidR="003A2744" w:rsidRPr="00D15774">
        <w:rPr>
          <w:szCs w:val="24"/>
        </w:rPr>
        <w:t>as SI-</w:t>
      </w:r>
      <w:r w:rsidRPr="00D15774">
        <w:rPr>
          <w:szCs w:val="24"/>
        </w:rPr>
        <w:t xml:space="preserve">ICE) is aimed at emissions from </w:t>
      </w:r>
      <w:r w:rsidR="007056C2" w:rsidRPr="00D15774">
        <w:rPr>
          <w:szCs w:val="24"/>
        </w:rPr>
        <w:t xml:space="preserve">engines firing </w:t>
      </w:r>
      <w:r w:rsidR="003A2744" w:rsidRPr="00D15774">
        <w:rPr>
          <w:szCs w:val="24"/>
        </w:rPr>
        <w:t>natural gas</w:t>
      </w:r>
      <w:r w:rsidR="007056C2" w:rsidRPr="00D15774">
        <w:rPr>
          <w:szCs w:val="24"/>
        </w:rPr>
        <w:t>, LPG or gasoline</w:t>
      </w:r>
      <w:r w:rsidR="002B15E2" w:rsidRPr="00D15774">
        <w:rPr>
          <w:szCs w:val="24"/>
        </w:rPr>
        <w:t xml:space="preserve">.  </w:t>
      </w:r>
      <w:r w:rsidR="007056C2" w:rsidRPr="00D15774">
        <w:rPr>
          <w:szCs w:val="24"/>
        </w:rPr>
        <w:t xml:space="preserve">In the O&amp;G fields </w:t>
      </w:r>
      <w:r w:rsidR="002B15E2" w:rsidRPr="00D15774">
        <w:rPr>
          <w:szCs w:val="24"/>
        </w:rPr>
        <w:t xml:space="preserve">SI-ICE are </w:t>
      </w:r>
      <w:r w:rsidR="007056C2" w:rsidRPr="00D15774">
        <w:rPr>
          <w:szCs w:val="24"/>
        </w:rPr>
        <w:t xml:space="preserve">most often natural gas fired and </w:t>
      </w:r>
      <w:r w:rsidR="002B15E2" w:rsidRPr="00D15774">
        <w:rPr>
          <w:szCs w:val="24"/>
        </w:rPr>
        <w:t>typically found powering gas compressors, pumps or electric generators</w:t>
      </w:r>
      <w:r w:rsidR="007056C2" w:rsidRPr="00D15774">
        <w:rPr>
          <w:szCs w:val="24"/>
        </w:rPr>
        <w:t>.</w:t>
      </w:r>
    </w:p>
    <w:p w:rsidR="002B15E2" w:rsidRPr="00D15774" w:rsidRDefault="00A40792" w:rsidP="0030012E">
      <w:pPr>
        <w:widowControl w:val="0"/>
        <w:spacing w:after="240" w:line="300" w:lineRule="auto"/>
        <w:rPr>
          <w:szCs w:val="24"/>
        </w:rPr>
      </w:pPr>
      <w:r w:rsidRPr="00D15774">
        <w:rPr>
          <w:szCs w:val="24"/>
        </w:rPr>
        <w:t xml:space="preserve">SI-ICE in the O&amp;G field are also sometimes found powering temporary well drill rigs, electric generators or hydraulic fracturing pumps.  Such engines are relocated fairly regularly, thus they are then classified as “Nonroad Mobile Sources”.  As such they are covered under EPA’s Mobile Source Rules.  But if a SI-ICE is permanently located (stationary such that it stays in one place for a year or more), then it is covered </w:t>
      </w:r>
      <w:r w:rsidR="0032045D" w:rsidRPr="00D15774">
        <w:rPr>
          <w:szCs w:val="24"/>
        </w:rPr>
        <w:t xml:space="preserve">by </w:t>
      </w:r>
      <w:r w:rsidRPr="00D15774">
        <w:rPr>
          <w:szCs w:val="24"/>
        </w:rPr>
        <w:t>Subpart JJJJ.</w:t>
      </w:r>
    </w:p>
    <w:p w:rsidR="00F96D60" w:rsidRPr="00D15774" w:rsidRDefault="0030012E" w:rsidP="00F96D60">
      <w:pPr>
        <w:widowControl w:val="0"/>
        <w:spacing w:after="240" w:line="300" w:lineRule="auto"/>
        <w:rPr>
          <w:szCs w:val="24"/>
        </w:rPr>
      </w:pPr>
      <w:r w:rsidRPr="00D15774">
        <w:rPr>
          <w:szCs w:val="24"/>
        </w:rPr>
        <w:t xml:space="preserve">Subpart </w:t>
      </w:r>
      <w:r w:rsidR="00F96D60" w:rsidRPr="00D15774">
        <w:rPr>
          <w:szCs w:val="24"/>
        </w:rPr>
        <w:t>JJJJ</w:t>
      </w:r>
      <w:r w:rsidRPr="00D15774">
        <w:rPr>
          <w:szCs w:val="24"/>
        </w:rPr>
        <w:t xml:space="preserve"> sets </w:t>
      </w:r>
      <w:r w:rsidR="00F96D60" w:rsidRPr="00D15774">
        <w:rPr>
          <w:color w:val="000000"/>
          <w:szCs w:val="24"/>
        </w:rPr>
        <w:t xml:space="preserve">NOx </w:t>
      </w:r>
      <w:r w:rsidR="00F96D60" w:rsidRPr="00D15774">
        <w:rPr>
          <w:szCs w:val="24"/>
        </w:rPr>
        <w:t xml:space="preserve">emission standards in terms of </w:t>
      </w:r>
      <w:r w:rsidR="00F96D60" w:rsidRPr="00D15774">
        <w:rPr>
          <w:color w:val="000000"/>
          <w:szCs w:val="24"/>
        </w:rPr>
        <w:t>grams/hp-hr and ppm concentration in the exhaust stream from SI-ICE based on manufacture date of the engine, broken down into engine capacity sized from under 11 HP up to greater than 750 HP.</w:t>
      </w:r>
    </w:p>
    <w:p w:rsidR="0030012E" w:rsidRPr="00D15774" w:rsidRDefault="0030012E" w:rsidP="0030012E">
      <w:pPr>
        <w:widowControl w:val="0"/>
        <w:spacing w:after="240" w:line="300" w:lineRule="auto"/>
        <w:rPr>
          <w:color w:val="000000"/>
        </w:rPr>
      </w:pPr>
      <w:r w:rsidRPr="00D15774">
        <w:rPr>
          <w:color w:val="000000"/>
        </w:rPr>
        <w:t xml:space="preserve">Details of Subpart </w:t>
      </w:r>
      <w:r w:rsidR="00427C09" w:rsidRPr="00D15774">
        <w:rPr>
          <w:szCs w:val="24"/>
        </w:rPr>
        <w:t>JJJJ</w:t>
      </w:r>
      <w:r w:rsidRPr="00D15774">
        <w:rPr>
          <w:color w:val="000000"/>
        </w:rPr>
        <w:t xml:space="preserve"> NSPS are found on the U.S. Government Printing Office website for the Title 40 Code of Federal Regulations at</w:t>
      </w:r>
      <w:r w:rsidR="000A6827" w:rsidRPr="00D15774">
        <w:rPr>
          <w:color w:val="000000"/>
        </w:rPr>
        <w:t xml:space="preserve">:  </w:t>
      </w:r>
      <w:hyperlink r:id="rId16" w:history="1">
        <w:r w:rsidR="000A6827" w:rsidRPr="00D15774">
          <w:rPr>
            <w:rStyle w:val="Hyperlink"/>
            <w:sz w:val="24"/>
            <w:szCs w:val="20"/>
          </w:rPr>
          <w:t>http://www.ecfr.gov/cgi-bin/text-idx?c=ecfr&amp;SID=76a8c177e56077333836b4d3204f32e4&amp;rgn=div6&amp;view=text&amp;node=40:7.0.1.1.1.98&amp;idno=40</w:t>
        </w:r>
      </w:hyperlink>
    </w:p>
    <w:p w:rsidR="00AD5824" w:rsidRPr="00D15774" w:rsidRDefault="00E00773" w:rsidP="000B0BB8">
      <w:pPr>
        <w:pStyle w:val="Heading2"/>
        <w:rPr>
          <w:rFonts w:ascii="Times New Roman" w:hAnsi="Times New Roman" w:cs="Times New Roman"/>
        </w:rPr>
      </w:pPr>
      <w:bookmarkStart w:id="39" w:name="_Toc369086997"/>
      <w:r w:rsidRPr="008A07D5">
        <w:rPr>
          <w:rFonts w:ascii="Times New Roman" w:hAnsi="Times New Roman" w:cs="Times New Roman"/>
          <w:color w:val="auto"/>
        </w:rPr>
        <w:t>d</w:t>
      </w:r>
      <w:r w:rsidR="00AD5824" w:rsidRPr="008A07D5">
        <w:rPr>
          <w:rFonts w:ascii="Times New Roman" w:hAnsi="Times New Roman" w:cs="Times New Roman"/>
          <w:color w:val="auto"/>
        </w:rPr>
        <w:t xml:space="preserve">.  NSPS Subpart </w:t>
      </w:r>
      <w:r w:rsidRPr="008A07D5">
        <w:rPr>
          <w:rFonts w:ascii="Times New Roman" w:hAnsi="Times New Roman" w:cs="Times New Roman"/>
          <w:color w:val="auto"/>
        </w:rPr>
        <w:t>KKKK</w:t>
      </w:r>
      <w:bookmarkEnd w:id="39"/>
      <w:r w:rsidR="00AD5824" w:rsidRPr="00D15774">
        <w:rPr>
          <w:rFonts w:ascii="Times New Roman" w:hAnsi="Times New Roman" w:cs="Times New Roman"/>
        </w:rPr>
        <w:fldChar w:fldCharType="begin"/>
      </w:r>
      <w:r w:rsidR="00AD5824" w:rsidRPr="00D15774">
        <w:rPr>
          <w:rFonts w:ascii="Times New Roman" w:hAnsi="Times New Roman" w:cs="Times New Roman"/>
        </w:rPr>
        <w:instrText xml:space="preserve"> TC \l2 "a.  Summary of Existing State Rules</w:instrText>
      </w:r>
      <w:r w:rsidR="00AD5824" w:rsidRPr="00D15774">
        <w:rPr>
          <w:rFonts w:ascii="Times New Roman" w:hAnsi="Times New Roman" w:cs="Times New Roman"/>
        </w:rPr>
        <w:fldChar w:fldCharType="end"/>
      </w:r>
    </w:p>
    <w:p w:rsidR="00DA30CA" w:rsidRDefault="00DA30CA" w:rsidP="00AA42B7">
      <w:pPr>
        <w:widowControl w:val="0"/>
        <w:spacing w:after="240" w:line="300" w:lineRule="auto"/>
        <w:rPr>
          <w:szCs w:val="24"/>
        </w:rPr>
      </w:pPr>
    </w:p>
    <w:p w:rsidR="00AA42B7" w:rsidRPr="00D15774" w:rsidRDefault="00AA42B7" w:rsidP="00AA42B7">
      <w:pPr>
        <w:widowControl w:val="0"/>
        <w:spacing w:after="240" w:line="300" w:lineRule="auto"/>
        <w:rPr>
          <w:szCs w:val="24"/>
        </w:rPr>
      </w:pPr>
      <w:r w:rsidRPr="00D15774">
        <w:rPr>
          <w:szCs w:val="24"/>
        </w:rPr>
        <w:t xml:space="preserve">Subpart KKKK </w:t>
      </w:r>
      <w:r w:rsidRPr="00D15774">
        <w:rPr>
          <w:sz w:val="22"/>
          <w:szCs w:val="22"/>
        </w:rPr>
        <w:t>(Standards of Performance for Stationary Combustion Turbines)</w:t>
      </w:r>
      <w:r w:rsidRPr="00D15774">
        <w:rPr>
          <w:szCs w:val="24"/>
        </w:rPr>
        <w:t xml:space="preserve"> is aimed at emissions from turbines firing natural gas </w:t>
      </w:r>
      <w:r w:rsidR="000D23DC" w:rsidRPr="00D15774">
        <w:rPr>
          <w:szCs w:val="24"/>
        </w:rPr>
        <w:t xml:space="preserve">or other </w:t>
      </w:r>
      <w:r w:rsidRPr="00B93093">
        <w:rPr>
          <w:szCs w:val="24"/>
        </w:rPr>
        <w:t>fuel that were constructed/modified after February 18, 2005.</w:t>
      </w:r>
      <w:r w:rsidRPr="00D15774">
        <w:rPr>
          <w:sz w:val="20"/>
        </w:rPr>
        <w:t xml:space="preserve">  </w:t>
      </w:r>
      <w:r w:rsidRPr="00D15774">
        <w:rPr>
          <w:szCs w:val="24"/>
        </w:rPr>
        <w:t>In the O&amp;G fields these turbines are typically found powering gas compressors, pumps or electric generators.</w:t>
      </w:r>
    </w:p>
    <w:p w:rsidR="00AA42B7" w:rsidRPr="00D15774" w:rsidRDefault="00AA42B7" w:rsidP="00AA42B7">
      <w:pPr>
        <w:widowControl w:val="0"/>
        <w:spacing w:after="240" w:line="300" w:lineRule="auto"/>
        <w:rPr>
          <w:szCs w:val="24"/>
        </w:rPr>
      </w:pPr>
      <w:r w:rsidRPr="00D15774">
        <w:rPr>
          <w:szCs w:val="24"/>
        </w:rPr>
        <w:t xml:space="preserve">Subpart KKKK sets </w:t>
      </w:r>
      <w:r w:rsidRPr="00D15774">
        <w:rPr>
          <w:color w:val="000000"/>
          <w:szCs w:val="24"/>
        </w:rPr>
        <w:t xml:space="preserve">NOx </w:t>
      </w:r>
      <w:r w:rsidRPr="00D15774">
        <w:rPr>
          <w:szCs w:val="24"/>
        </w:rPr>
        <w:t xml:space="preserve">emission standards in terms of </w:t>
      </w:r>
      <w:r w:rsidRPr="00D15774">
        <w:rPr>
          <w:color w:val="000000"/>
          <w:szCs w:val="24"/>
        </w:rPr>
        <w:t xml:space="preserve">ppm concentration in the exhaust stream </w:t>
      </w:r>
      <w:r w:rsidR="00412871" w:rsidRPr="00D15774">
        <w:rPr>
          <w:color w:val="000000"/>
          <w:szCs w:val="24"/>
        </w:rPr>
        <w:t xml:space="preserve">and in terms of </w:t>
      </w:r>
      <w:r w:rsidR="000D23DC" w:rsidRPr="00D15774">
        <w:rPr>
          <w:color w:val="000000"/>
          <w:szCs w:val="24"/>
        </w:rPr>
        <w:t>lb/</w:t>
      </w:r>
      <w:r w:rsidR="00412871" w:rsidRPr="00D15774">
        <w:rPr>
          <w:color w:val="000000"/>
          <w:szCs w:val="24"/>
        </w:rPr>
        <w:t>MW-hr useful energy output</w:t>
      </w:r>
      <w:r w:rsidR="000D23DC" w:rsidRPr="00D15774">
        <w:rPr>
          <w:color w:val="000000"/>
          <w:szCs w:val="24"/>
        </w:rPr>
        <w:t>.  The standards differ</w:t>
      </w:r>
      <w:r w:rsidR="00412871" w:rsidRPr="00D15774">
        <w:rPr>
          <w:color w:val="000000"/>
          <w:szCs w:val="24"/>
        </w:rPr>
        <w:t xml:space="preserve"> </w:t>
      </w:r>
      <w:r w:rsidRPr="00D15774">
        <w:rPr>
          <w:color w:val="000000"/>
          <w:szCs w:val="24"/>
        </w:rPr>
        <w:t xml:space="preserve">from </w:t>
      </w:r>
      <w:r w:rsidR="00412871" w:rsidRPr="00D15774">
        <w:rPr>
          <w:color w:val="000000"/>
          <w:szCs w:val="24"/>
        </w:rPr>
        <w:t>small turbines</w:t>
      </w:r>
      <w:r w:rsidRPr="00D15774">
        <w:rPr>
          <w:color w:val="000000"/>
          <w:szCs w:val="24"/>
        </w:rPr>
        <w:t xml:space="preserve"> </w:t>
      </w:r>
      <w:r w:rsidR="005B0438" w:rsidRPr="00D15774">
        <w:rPr>
          <w:color w:val="000000"/>
          <w:szCs w:val="24"/>
        </w:rPr>
        <w:lastRenderedPageBreak/>
        <w:t>(</w:t>
      </w:r>
      <w:r w:rsidR="005B0438" w:rsidRPr="00D15774">
        <w:rPr>
          <w:szCs w:val="24"/>
          <w:lang w:val="en-CA"/>
        </w:rPr>
        <w:fldChar w:fldCharType="begin"/>
      </w:r>
      <w:r w:rsidR="005B0438" w:rsidRPr="00D15774">
        <w:rPr>
          <w:szCs w:val="24"/>
          <w:lang w:val="en-CA"/>
        </w:rPr>
        <w:instrText xml:space="preserve"> SEQ CHAPTER \h \r 1</w:instrText>
      </w:r>
      <w:r w:rsidR="005B0438" w:rsidRPr="00D15774">
        <w:rPr>
          <w:szCs w:val="24"/>
          <w:lang w:val="en-CA"/>
        </w:rPr>
        <w:fldChar w:fldCharType="end"/>
      </w:r>
      <w:r w:rsidR="005B0438" w:rsidRPr="00D15774">
        <w:rPr>
          <w:szCs w:val="24"/>
          <w:lang w:val="en-CA"/>
        </w:rPr>
        <w:fldChar w:fldCharType="begin"/>
      </w:r>
      <w:r w:rsidR="005B0438" w:rsidRPr="00D15774">
        <w:rPr>
          <w:szCs w:val="24"/>
          <w:lang w:val="en-CA"/>
        </w:rPr>
        <w:instrText xml:space="preserve"> SEQ CHAPTER \h \r 1</w:instrText>
      </w:r>
      <w:r w:rsidR="005B0438" w:rsidRPr="00D15774">
        <w:rPr>
          <w:szCs w:val="24"/>
          <w:lang w:val="en-CA"/>
        </w:rPr>
        <w:fldChar w:fldCharType="end"/>
      </w:r>
      <w:r w:rsidR="005B0438" w:rsidRPr="00D15774">
        <w:rPr>
          <w:szCs w:val="24"/>
        </w:rPr>
        <w:t>≤</w:t>
      </w:r>
      <w:r w:rsidR="00412871" w:rsidRPr="00D15774">
        <w:rPr>
          <w:color w:val="000000"/>
          <w:szCs w:val="24"/>
        </w:rPr>
        <w:t xml:space="preserve"> 50 MMBtu/hr) </w:t>
      </w:r>
      <w:r w:rsidRPr="00D15774">
        <w:rPr>
          <w:color w:val="000000"/>
          <w:szCs w:val="24"/>
        </w:rPr>
        <w:t>based on</w:t>
      </w:r>
      <w:r w:rsidR="00412871" w:rsidRPr="00D15774">
        <w:rPr>
          <w:color w:val="000000"/>
          <w:szCs w:val="24"/>
        </w:rPr>
        <w:t xml:space="preserve"> whether they are electric generating or mechanical drive units.  For</w:t>
      </w:r>
      <w:r w:rsidR="005B0438" w:rsidRPr="00D15774">
        <w:rPr>
          <w:color w:val="000000"/>
          <w:szCs w:val="24"/>
        </w:rPr>
        <w:t xml:space="preserve"> </w:t>
      </w:r>
      <w:r w:rsidR="00412871" w:rsidRPr="00D15774">
        <w:rPr>
          <w:color w:val="000000"/>
          <w:szCs w:val="24"/>
        </w:rPr>
        <w:t xml:space="preserve">larger turbines </w:t>
      </w:r>
      <w:r w:rsidR="000D23DC" w:rsidRPr="00D15774">
        <w:rPr>
          <w:color w:val="000000"/>
          <w:szCs w:val="24"/>
        </w:rPr>
        <w:t xml:space="preserve">above 50 HP </w:t>
      </w:r>
      <w:r w:rsidR="00412871" w:rsidRPr="00D15774">
        <w:rPr>
          <w:color w:val="000000"/>
          <w:szCs w:val="24"/>
        </w:rPr>
        <w:t xml:space="preserve">there are standards for units </w:t>
      </w:r>
      <w:r w:rsidR="000D23DC" w:rsidRPr="00D15774">
        <w:rPr>
          <w:color w:val="000000"/>
          <w:szCs w:val="24"/>
        </w:rPr>
        <w:t xml:space="preserve">up to </w:t>
      </w:r>
      <w:r w:rsidR="00412871" w:rsidRPr="00D15774">
        <w:rPr>
          <w:color w:val="000000"/>
          <w:szCs w:val="24"/>
        </w:rPr>
        <w:t>850</w:t>
      </w:r>
      <w:r w:rsidR="005B0438" w:rsidRPr="00D15774">
        <w:rPr>
          <w:color w:val="000000"/>
          <w:szCs w:val="24"/>
        </w:rPr>
        <w:t xml:space="preserve"> MMBtu/hr</w:t>
      </w:r>
      <w:r w:rsidR="0098168C" w:rsidRPr="00D15774">
        <w:rPr>
          <w:color w:val="000000"/>
          <w:szCs w:val="24"/>
        </w:rPr>
        <w:t>, and separate standards for units</w:t>
      </w:r>
      <w:r w:rsidR="005B0438" w:rsidRPr="00D15774">
        <w:rPr>
          <w:color w:val="000000"/>
          <w:szCs w:val="24"/>
        </w:rPr>
        <w:t xml:space="preserve"> greater than 850 MMBtu/hr.  </w:t>
      </w:r>
      <w:r w:rsidR="00412871" w:rsidRPr="00D15774">
        <w:rPr>
          <w:color w:val="000000"/>
          <w:szCs w:val="24"/>
        </w:rPr>
        <w:t>The</w:t>
      </w:r>
      <w:r w:rsidR="005B0438" w:rsidRPr="00D15774">
        <w:rPr>
          <w:color w:val="000000"/>
          <w:szCs w:val="24"/>
        </w:rPr>
        <w:t>se four emission limits vary depending on whether the unit fires natural gas or another fuel, and also vary depending on whether the unit is new or modified/reconstructed</w:t>
      </w:r>
      <w:r w:rsidR="00412871" w:rsidRPr="00D15774">
        <w:rPr>
          <w:color w:val="000000"/>
          <w:szCs w:val="24"/>
        </w:rPr>
        <w:t>.</w:t>
      </w:r>
      <w:r w:rsidR="005B0438" w:rsidRPr="00D15774">
        <w:rPr>
          <w:color w:val="000000"/>
          <w:szCs w:val="24"/>
        </w:rPr>
        <w:t xml:space="preserve">  Turbines located north of the Arctic Circle and those where heat recovery units operate independent of the combustion turbine have standards written specifically for these conditions.</w:t>
      </w:r>
    </w:p>
    <w:p w:rsidR="00AA42B7" w:rsidRPr="00D15774" w:rsidRDefault="00AA42B7" w:rsidP="00AA42B7">
      <w:pPr>
        <w:widowControl w:val="0"/>
        <w:spacing w:after="240" w:line="300" w:lineRule="auto"/>
        <w:rPr>
          <w:color w:val="000000"/>
        </w:rPr>
      </w:pPr>
      <w:r w:rsidRPr="00D15774">
        <w:rPr>
          <w:color w:val="000000"/>
        </w:rPr>
        <w:t xml:space="preserve">Details of Subpart </w:t>
      </w:r>
      <w:r w:rsidR="00427C09" w:rsidRPr="00D15774">
        <w:rPr>
          <w:color w:val="000000"/>
        </w:rPr>
        <w:t>KKKK</w:t>
      </w:r>
      <w:r w:rsidRPr="00D15774">
        <w:rPr>
          <w:color w:val="000000"/>
        </w:rPr>
        <w:t xml:space="preserve"> NSPS are found on the U.S. Government Printing Office website for the Title 40 Code of Federal Regulations at:  </w:t>
      </w:r>
      <w:hyperlink r:id="rId17" w:history="1">
        <w:r w:rsidRPr="00D15774">
          <w:rPr>
            <w:rStyle w:val="Hyperlink"/>
            <w:sz w:val="24"/>
            <w:szCs w:val="20"/>
          </w:rPr>
          <w:t>http://www.ecfr.gov/cgi-bin/text-idx?c=ecfr&amp;SID=76a8c177e56077333836b4d3204f32e4&amp;rgn=div6&amp;view=text&amp;node=40:7.0.1.1.1.99&amp;idno=40</w:t>
        </w:r>
      </w:hyperlink>
    </w:p>
    <w:p w:rsidR="0032045D" w:rsidRPr="008A07D5" w:rsidRDefault="00066E52" w:rsidP="000B0BB8">
      <w:pPr>
        <w:pStyle w:val="Heading2"/>
        <w:rPr>
          <w:rFonts w:ascii="Times New Roman" w:hAnsi="Times New Roman" w:cs="Times New Roman"/>
          <w:color w:val="auto"/>
        </w:rPr>
      </w:pPr>
      <w:bookmarkStart w:id="40" w:name="_Toc369086998"/>
      <w:r w:rsidRPr="008A07D5">
        <w:rPr>
          <w:rFonts w:ascii="Times New Roman" w:hAnsi="Times New Roman" w:cs="Times New Roman"/>
          <w:color w:val="auto"/>
        </w:rPr>
        <w:t>e.  EPA Mobile Source Nonroad Engines</w:t>
      </w:r>
      <w:bookmarkEnd w:id="40"/>
      <w:r w:rsidRPr="008A07D5">
        <w:rPr>
          <w:rFonts w:ascii="Times New Roman" w:hAnsi="Times New Roman" w:cs="Times New Roman"/>
          <w:color w:val="auto"/>
        </w:rPr>
        <w:fldChar w:fldCharType="begin"/>
      </w:r>
      <w:r w:rsidRPr="008A07D5">
        <w:rPr>
          <w:rFonts w:ascii="Times New Roman" w:hAnsi="Times New Roman" w:cs="Times New Roman"/>
          <w:color w:val="auto"/>
        </w:rPr>
        <w:instrText xml:space="preserve"> TC \l2 "a.  Summary of Existing State Rules</w:instrText>
      </w:r>
      <w:r w:rsidRPr="008A07D5">
        <w:rPr>
          <w:rFonts w:ascii="Times New Roman" w:hAnsi="Times New Roman" w:cs="Times New Roman"/>
          <w:color w:val="auto"/>
        </w:rPr>
        <w:fldChar w:fldCharType="end"/>
      </w:r>
    </w:p>
    <w:p w:rsidR="0032045D" w:rsidRPr="00D15774" w:rsidRDefault="0032045D" w:rsidP="0032045D">
      <w:pPr>
        <w:widowControl w:val="0"/>
        <w:spacing w:line="300" w:lineRule="auto"/>
        <w:rPr>
          <w:szCs w:val="24"/>
        </w:rPr>
      </w:pPr>
    </w:p>
    <w:p w:rsidR="00F44BFB" w:rsidRPr="00D15774" w:rsidRDefault="00066E52" w:rsidP="00AA42B7">
      <w:pPr>
        <w:widowControl w:val="0"/>
        <w:spacing w:after="240" w:line="300" w:lineRule="auto"/>
        <w:rPr>
          <w:color w:val="000000"/>
          <w:szCs w:val="24"/>
        </w:rPr>
      </w:pPr>
      <w:r w:rsidRPr="00D15774">
        <w:rPr>
          <w:szCs w:val="24"/>
        </w:rPr>
        <w:t>As noted in the Subpart IIII</w:t>
      </w:r>
      <w:r w:rsidR="00A40792" w:rsidRPr="00D15774">
        <w:rPr>
          <w:szCs w:val="24"/>
        </w:rPr>
        <w:t xml:space="preserve"> and JJJJ</w:t>
      </w:r>
      <w:r w:rsidRPr="00D15774">
        <w:rPr>
          <w:szCs w:val="24"/>
        </w:rPr>
        <w:t xml:space="preserve"> discussion</w:t>
      </w:r>
      <w:r w:rsidR="0032045D" w:rsidRPr="00D15774">
        <w:rPr>
          <w:szCs w:val="24"/>
        </w:rPr>
        <w:t>s</w:t>
      </w:r>
      <w:r w:rsidRPr="00D15774">
        <w:rPr>
          <w:szCs w:val="24"/>
        </w:rPr>
        <w:t xml:space="preserve">, </w:t>
      </w:r>
      <w:r w:rsidR="00A40792" w:rsidRPr="00D15774">
        <w:rPr>
          <w:szCs w:val="24"/>
        </w:rPr>
        <w:t xml:space="preserve">some </w:t>
      </w:r>
      <w:r w:rsidRPr="00D15774">
        <w:rPr>
          <w:szCs w:val="24"/>
        </w:rPr>
        <w:t>engines in the O&amp;G field are typically found powering equipment such as well drill rigs, electric generators or hydraulic fracturing pumps</w:t>
      </w:r>
      <w:r w:rsidR="00ED2DA0" w:rsidRPr="00D15774">
        <w:rPr>
          <w:szCs w:val="24"/>
        </w:rPr>
        <w:t>, sources that are relocated fairly regularly</w:t>
      </w:r>
      <w:r w:rsidRPr="00D15774">
        <w:rPr>
          <w:szCs w:val="24"/>
        </w:rPr>
        <w:t>.  If such engines are not “stationary” (in one place for a year or more), they are classified as “Nonroad Mobile Sources”</w:t>
      </w:r>
      <w:r w:rsidR="00A40792" w:rsidRPr="00D15774">
        <w:rPr>
          <w:szCs w:val="24"/>
        </w:rPr>
        <w:t>.  CI-ICE are</w:t>
      </w:r>
      <w:r w:rsidR="00E1250A" w:rsidRPr="00D15774">
        <w:rPr>
          <w:szCs w:val="24"/>
        </w:rPr>
        <w:t xml:space="preserve"> regulated under</w:t>
      </w:r>
      <w:r w:rsidRPr="00D15774">
        <w:rPr>
          <w:szCs w:val="24"/>
        </w:rPr>
        <w:t xml:space="preserve"> </w:t>
      </w:r>
      <w:r w:rsidR="00E1250A" w:rsidRPr="00D15774">
        <w:rPr>
          <w:color w:val="000000"/>
          <w:szCs w:val="24"/>
        </w:rPr>
        <w:t>40 CFR 1039</w:t>
      </w:r>
      <w:r w:rsidR="00A40792" w:rsidRPr="00D15774">
        <w:rPr>
          <w:color w:val="000000"/>
          <w:szCs w:val="24"/>
        </w:rPr>
        <w:t xml:space="preserve">, while SI-ICE </w:t>
      </w:r>
      <w:r w:rsidR="00A40792" w:rsidRPr="00D15774">
        <w:rPr>
          <w:szCs w:val="24"/>
        </w:rPr>
        <w:t xml:space="preserve">are regulated under </w:t>
      </w:r>
      <w:r w:rsidR="00A40792" w:rsidRPr="00D15774">
        <w:rPr>
          <w:color w:val="000000"/>
          <w:szCs w:val="24"/>
        </w:rPr>
        <w:t>40 CFR 1048</w:t>
      </w:r>
      <w:r w:rsidR="00E1250A" w:rsidRPr="00D15774">
        <w:rPr>
          <w:color w:val="000000"/>
          <w:szCs w:val="24"/>
        </w:rPr>
        <w:t>.  Th</w:t>
      </w:r>
      <w:r w:rsidR="00A40792" w:rsidRPr="00D15774">
        <w:rPr>
          <w:color w:val="000000"/>
          <w:szCs w:val="24"/>
        </w:rPr>
        <w:t>ose</w:t>
      </w:r>
      <w:r w:rsidR="00E1250A" w:rsidRPr="00D15774">
        <w:rPr>
          <w:color w:val="000000"/>
          <w:szCs w:val="24"/>
        </w:rPr>
        <w:t xml:space="preserve"> regulation</w:t>
      </w:r>
      <w:r w:rsidR="00A40792" w:rsidRPr="00D15774">
        <w:rPr>
          <w:color w:val="000000"/>
          <w:szCs w:val="24"/>
        </w:rPr>
        <w:t>s</w:t>
      </w:r>
      <w:r w:rsidR="00E1250A" w:rsidRPr="00D15774">
        <w:rPr>
          <w:color w:val="000000"/>
          <w:szCs w:val="24"/>
        </w:rPr>
        <w:t xml:space="preserve"> set “Tiers” of emission standards</w:t>
      </w:r>
      <w:r w:rsidR="00F44BFB" w:rsidRPr="00D15774">
        <w:rPr>
          <w:color w:val="000000"/>
          <w:szCs w:val="24"/>
        </w:rPr>
        <w:t xml:space="preserve"> which </w:t>
      </w:r>
      <w:r w:rsidR="00E1250A" w:rsidRPr="00D15774">
        <w:rPr>
          <w:color w:val="000000"/>
          <w:szCs w:val="24"/>
        </w:rPr>
        <w:t xml:space="preserve">vary based on Model Year of the engine and engine capacity (sized in </w:t>
      </w:r>
      <w:r w:rsidR="00F44BFB" w:rsidRPr="00D15774">
        <w:rPr>
          <w:color w:val="000000"/>
          <w:szCs w:val="24"/>
        </w:rPr>
        <w:t xml:space="preserve">9 bins </w:t>
      </w:r>
      <w:r w:rsidR="00E1250A" w:rsidRPr="00D15774">
        <w:rPr>
          <w:color w:val="000000"/>
          <w:szCs w:val="24"/>
        </w:rPr>
        <w:t>from under 11 HP up to greater than 750 H</w:t>
      </w:r>
      <w:r w:rsidR="00F44BFB" w:rsidRPr="00D15774">
        <w:rPr>
          <w:color w:val="000000"/>
          <w:szCs w:val="24"/>
        </w:rPr>
        <w:t>P).</w:t>
      </w:r>
      <w:r w:rsidR="00F40159" w:rsidRPr="00D15774">
        <w:rPr>
          <w:szCs w:val="24"/>
        </w:rPr>
        <w:t xml:space="preserve">  Subpart B</w:t>
      </w:r>
      <w:r w:rsidR="00F40159" w:rsidRPr="00D15774">
        <w:rPr>
          <w:color w:val="000000"/>
          <w:szCs w:val="24"/>
        </w:rPr>
        <w:t xml:space="preserve"> </w:t>
      </w:r>
      <w:r w:rsidR="00A40792" w:rsidRPr="00D15774">
        <w:rPr>
          <w:color w:val="000000"/>
          <w:szCs w:val="24"/>
        </w:rPr>
        <w:t xml:space="preserve">of Part </w:t>
      </w:r>
      <w:r w:rsidR="00F40159" w:rsidRPr="00D15774">
        <w:rPr>
          <w:color w:val="000000"/>
          <w:szCs w:val="24"/>
        </w:rPr>
        <w:t>1</w:t>
      </w:r>
      <w:r w:rsidR="00A40792" w:rsidRPr="00D15774">
        <w:rPr>
          <w:color w:val="000000"/>
          <w:szCs w:val="24"/>
        </w:rPr>
        <w:t>0</w:t>
      </w:r>
      <w:r w:rsidR="00F40159" w:rsidRPr="00D15774">
        <w:rPr>
          <w:color w:val="000000"/>
          <w:szCs w:val="24"/>
        </w:rPr>
        <w:t>39</w:t>
      </w:r>
      <w:r w:rsidR="00A40792" w:rsidRPr="00D15774">
        <w:rPr>
          <w:color w:val="000000"/>
          <w:szCs w:val="24"/>
        </w:rPr>
        <w:t xml:space="preserve"> and </w:t>
      </w:r>
      <w:r w:rsidR="004C26B5" w:rsidRPr="00D15774">
        <w:rPr>
          <w:color w:val="000000"/>
          <w:szCs w:val="24"/>
        </w:rPr>
        <w:t xml:space="preserve">of </w:t>
      </w:r>
      <w:r w:rsidR="00A40792" w:rsidRPr="00D15774">
        <w:rPr>
          <w:color w:val="000000"/>
          <w:szCs w:val="24"/>
        </w:rPr>
        <w:t xml:space="preserve">Part 1048 </w:t>
      </w:r>
      <w:r w:rsidR="004C26B5" w:rsidRPr="00D15774">
        <w:rPr>
          <w:color w:val="000000"/>
          <w:szCs w:val="24"/>
        </w:rPr>
        <w:t>c</w:t>
      </w:r>
      <w:r w:rsidR="00F40159" w:rsidRPr="00D15774">
        <w:rPr>
          <w:color w:val="000000"/>
          <w:szCs w:val="24"/>
        </w:rPr>
        <w:t xml:space="preserve">ontains tables </w:t>
      </w:r>
      <w:r w:rsidR="003770C5" w:rsidRPr="00D15774">
        <w:rPr>
          <w:color w:val="000000"/>
          <w:szCs w:val="24"/>
        </w:rPr>
        <w:t xml:space="preserve">of </w:t>
      </w:r>
      <w:r w:rsidR="00815137" w:rsidRPr="00D15774">
        <w:rPr>
          <w:color w:val="000000"/>
          <w:szCs w:val="24"/>
        </w:rPr>
        <w:t>grams per kilowatt-hour (</w:t>
      </w:r>
      <w:r w:rsidR="0032045D" w:rsidRPr="00D15774">
        <w:rPr>
          <w:color w:val="000000"/>
          <w:szCs w:val="24"/>
        </w:rPr>
        <w:t xml:space="preserve">convertible to grams per </w:t>
      </w:r>
      <w:r w:rsidR="00815137" w:rsidRPr="00D15774">
        <w:rPr>
          <w:color w:val="000000"/>
          <w:szCs w:val="24"/>
        </w:rPr>
        <w:t>horsepower-hour)</w:t>
      </w:r>
      <w:r w:rsidR="00F40159" w:rsidRPr="00D15774">
        <w:rPr>
          <w:color w:val="000000"/>
          <w:szCs w:val="24"/>
        </w:rPr>
        <w:t xml:space="preserve"> based</w:t>
      </w:r>
      <w:r w:rsidR="004C26B5" w:rsidRPr="00D15774">
        <w:rPr>
          <w:color w:val="000000"/>
          <w:szCs w:val="24"/>
        </w:rPr>
        <w:t xml:space="preserve"> emission limits.</w:t>
      </w:r>
    </w:p>
    <w:p w:rsidR="00F40159" w:rsidRPr="00D15774" w:rsidRDefault="00F44BFB" w:rsidP="00AA42B7">
      <w:pPr>
        <w:widowControl w:val="0"/>
        <w:spacing w:after="240" w:line="300" w:lineRule="auto"/>
        <w:rPr>
          <w:color w:val="333333"/>
          <w:szCs w:val="24"/>
        </w:rPr>
      </w:pPr>
      <w:r w:rsidRPr="00D15774">
        <w:rPr>
          <w:color w:val="000000"/>
          <w:szCs w:val="24"/>
        </w:rPr>
        <w:t>The Final Rule for the latest “</w:t>
      </w:r>
      <w:r w:rsidR="00E1250A" w:rsidRPr="00D15774">
        <w:rPr>
          <w:color w:val="000000"/>
          <w:szCs w:val="24"/>
        </w:rPr>
        <w:t>Tier 4</w:t>
      </w:r>
      <w:r w:rsidRPr="00D15774">
        <w:rPr>
          <w:color w:val="000000"/>
          <w:szCs w:val="24"/>
        </w:rPr>
        <w:t xml:space="preserve">” standards </w:t>
      </w:r>
      <w:r w:rsidR="004C26B5" w:rsidRPr="00D15774">
        <w:rPr>
          <w:color w:val="000000"/>
          <w:szCs w:val="24"/>
        </w:rPr>
        <w:t xml:space="preserve">for CI-ICE </w:t>
      </w:r>
      <w:r w:rsidRPr="00D15774">
        <w:rPr>
          <w:color w:val="000000"/>
          <w:szCs w:val="24"/>
        </w:rPr>
        <w:t xml:space="preserve">was signed into law by EPA on </w:t>
      </w:r>
      <w:r w:rsidRPr="00D15774">
        <w:rPr>
          <w:color w:val="333333"/>
          <w:szCs w:val="24"/>
        </w:rPr>
        <w:t>May 11, 2004</w:t>
      </w:r>
      <w:r w:rsidR="003B05EB" w:rsidRPr="00D15774">
        <w:rPr>
          <w:color w:val="333333"/>
          <w:szCs w:val="24"/>
        </w:rPr>
        <w:t xml:space="preserve">, with emission limits </w:t>
      </w:r>
      <w:r w:rsidRPr="00D15774">
        <w:rPr>
          <w:color w:val="333333"/>
          <w:szCs w:val="24"/>
        </w:rPr>
        <w:t>which are phased-in beginning in 2008 and take full effect after 2014.</w:t>
      </w:r>
      <w:r w:rsidR="003B05EB" w:rsidRPr="00D15774">
        <w:rPr>
          <w:color w:val="333333"/>
          <w:szCs w:val="24"/>
        </w:rPr>
        <w:t xml:space="preserve">  Tiers 1, 2 and 3 standards apply to engines </w:t>
      </w:r>
      <w:r w:rsidR="00F40159" w:rsidRPr="00D15774">
        <w:rPr>
          <w:color w:val="333333"/>
          <w:szCs w:val="24"/>
        </w:rPr>
        <w:t>prior to Tier 4 applicability.</w:t>
      </w:r>
    </w:p>
    <w:p w:rsidR="003B05EB" w:rsidRPr="00D15774" w:rsidRDefault="003B05EB" w:rsidP="00AA42B7">
      <w:pPr>
        <w:widowControl w:val="0"/>
        <w:spacing w:after="240" w:line="300" w:lineRule="auto"/>
        <w:rPr>
          <w:color w:val="000000"/>
        </w:rPr>
      </w:pPr>
      <w:r w:rsidRPr="00D15774">
        <w:rPr>
          <w:color w:val="000000"/>
        </w:rPr>
        <w:t xml:space="preserve">Details of the Nonroad CI-ICE </w:t>
      </w:r>
      <w:r w:rsidRPr="00D15774">
        <w:rPr>
          <w:szCs w:val="24"/>
        </w:rPr>
        <w:t xml:space="preserve">Emission Standards </w:t>
      </w:r>
      <w:r w:rsidRPr="00D15774">
        <w:rPr>
          <w:color w:val="000000"/>
        </w:rPr>
        <w:t xml:space="preserve">are </w:t>
      </w:r>
      <w:r w:rsidRPr="00D15774">
        <w:rPr>
          <w:color w:val="000000"/>
          <w:szCs w:val="24"/>
        </w:rPr>
        <w:t xml:space="preserve">found </w:t>
      </w:r>
      <w:r w:rsidR="00F40159" w:rsidRPr="00D15774">
        <w:rPr>
          <w:color w:val="000000"/>
          <w:szCs w:val="24"/>
        </w:rPr>
        <w:t xml:space="preserve">under </w:t>
      </w:r>
      <w:r w:rsidRPr="00D15774">
        <w:rPr>
          <w:color w:val="000000"/>
          <w:szCs w:val="24"/>
        </w:rPr>
        <w:t>on the</w:t>
      </w:r>
      <w:r w:rsidRPr="00D15774">
        <w:rPr>
          <w:color w:val="000000"/>
        </w:rPr>
        <w:t xml:space="preserve"> U.S. </w:t>
      </w:r>
      <w:r w:rsidR="00F40159" w:rsidRPr="00D15774">
        <w:rPr>
          <w:color w:val="000000"/>
        </w:rPr>
        <w:t>G</w:t>
      </w:r>
      <w:r w:rsidRPr="00D15774">
        <w:rPr>
          <w:color w:val="000000"/>
        </w:rPr>
        <w:t xml:space="preserve">overnment Printing Office website for the Title 40 Code of Federal Regulations at:  </w:t>
      </w:r>
      <w:hyperlink r:id="rId18" w:history="1">
        <w:r w:rsidRPr="00D15774">
          <w:rPr>
            <w:rStyle w:val="Hyperlink"/>
            <w:sz w:val="24"/>
            <w:szCs w:val="20"/>
          </w:rPr>
          <w:t>http://www.ecfr.gov/cgi-bin/text-idx?c=ecfr&amp;SID=87fc616f76940ac52050146859bf7538&amp;tpl=/ecfrbrowse/Title40/40cfr1039_main_02.tpl</w:t>
        </w:r>
      </w:hyperlink>
    </w:p>
    <w:p w:rsidR="00066E52" w:rsidRPr="00D15774" w:rsidRDefault="004C26B5" w:rsidP="00AA42B7">
      <w:pPr>
        <w:widowControl w:val="0"/>
        <w:spacing w:after="240" w:line="300" w:lineRule="auto"/>
        <w:rPr>
          <w:color w:val="000000"/>
        </w:rPr>
      </w:pPr>
      <w:r w:rsidRPr="00D15774">
        <w:rPr>
          <w:color w:val="000000"/>
        </w:rPr>
        <w:t xml:space="preserve">Details of the Nonroad SI-ICE </w:t>
      </w:r>
      <w:r w:rsidRPr="00D15774">
        <w:rPr>
          <w:szCs w:val="24"/>
        </w:rPr>
        <w:t xml:space="preserve">Emission Standards </w:t>
      </w:r>
      <w:r w:rsidRPr="00D15774">
        <w:rPr>
          <w:color w:val="000000"/>
        </w:rPr>
        <w:t xml:space="preserve">are </w:t>
      </w:r>
      <w:r w:rsidRPr="00D15774">
        <w:rPr>
          <w:color w:val="000000"/>
          <w:szCs w:val="24"/>
        </w:rPr>
        <w:t>found under on the</w:t>
      </w:r>
      <w:r w:rsidRPr="00D15774">
        <w:rPr>
          <w:color w:val="000000"/>
        </w:rPr>
        <w:t xml:space="preserve"> U.S. Government </w:t>
      </w:r>
      <w:r w:rsidRPr="00D15774">
        <w:rPr>
          <w:color w:val="000000"/>
        </w:rPr>
        <w:lastRenderedPageBreak/>
        <w:t xml:space="preserve">Printing Office website for the Title 40 Code of Federal Regulations at:  </w:t>
      </w:r>
      <w:r w:rsidR="003B05EB" w:rsidRPr="00D15774">
        <w:rPr>
          <w:color w:val="000000"/>
        </w:rPr>
        <w:t xml:space="preserve"> </w:t>
      </w:r>
    </w:p>
    <w:p w:rsidR="004C26B5" w:rsidRDefault="00645938" w:rsidP="00AA42B7">
      <w:pPr>
        <w:widowControl w:val="0"/>
        <w:spacing w:after="240" w:line="300" w:lineRule="auto"/>
        <w:rPr>
          <w:rStyle w:val="Hyperlink"/>
          <w:sz w:val="24"/>
          <w:szCs w:val="20"/>
        </w:rPr>
      </w:pPr>
      <w:hyperlink r:id="rId19" w:history="1">
        <w:r w:rsidR="004C26B5" w:rsidRPr="00D15774">
          <w:rPr>
            <w:rStyle w:val="Hyperlink"/>
            <w:sz w:val="24"/>
            <w:szCs w:val="20"/>
          </w:rPr>
          <w:t>http://www.ecfr.gov/cgi-bin/text-idx?c=ecfr&amp;SID=766a6aaa5d5b0e86ae09c1c9f56af5f8&amp;tpl=/ecfrbrowse/Title40/40cfr1048_main_02.tpl</w:t>
        </w:r>
      </w:hyperlink>
    </w:p>
    <w:p w:rsidR="00FC328E" w:rsidRPr="00D15774" w:rsidRDefault="00FC328E" w:rsidP="00AA42B7">
      <w:pPr>
        <w:widowControl w:val="0"/>
        <w:spacing w:after="240" w:line="300" w:lineRule="auto"/>
        <w:rPr>
          <w:color w:val="000000"/>
        </w:rPr>
      </w:pPr>
    </w:p>
    <w:p w:rsidR="00042617" w:rsidRPr="00DA30CA" w:rsidRDefault="00AD5824" w:rsidP="000B0BB8">
      <w:pPr>
        <w:pStyle w:val="Heading1"/>
        <w:rPr>
          <w:rFonts w:ascii="Times New Roman" w:hAnsi="Times New Roman" w:cs="Times New Roman"/>
          <w:b/>
          <w:sz w:val="28"/>
          <w:szCs w:val="28"/>
        </w:rPr>
      </w:pPr>
      <w:bookmarkStart w:id="41" w:name="_Toc369086999"/>
      <w:r w:rsidRPr="00DA30CA">
        <w:rPr>
          <w:rFonts w:ascii="Times New Roman" w:hAnsi="Times New Roman" w:cs="Times New Roman"/>
          <w:b/>
          <w:color w:val="auto"/>
          <w:sz w:val="28"/>
          <w:szCs w:val="28"/>
        </w:rPr>
        <w:t>4</w:t>
      </w:r>
      <w:r w:rsidR="00042617" w:rsidRPr="00DA30CA">
        <w:rPr>
          <w:rFonts w:ascii="Times New Roman" w:hAnsi="Times New Roman" w:cs="Times New Roman"/>
          <w:b/>
          <w:color w:val="auto"/>
          <w:sz w:val="28"/>
          <w:szCs w:val="28"/>
        </w:rPr>
        <w:t>.  REVIEW OF STATE OIL AND NATURAL GAS RULES</w:t>
      </w:r>
      <w:bookmarkEnd w:id="41"/>
      <w:r w:rsidR="00E21C92" w:rsidRPr="00DA30CA">
        <w:rPr>
          <w:rFonts w:ascii="Times New Roman" w:hAnsi="Times New Roman" w:cs="Times New Roman"/>
          <w:b/>
          <w:color w:val="auto"/>
          <w:sz w:val="28"/>
          <w:szCs w:val="28"/>
        </w:rPr>
        <w:fldChar w:fldCharType="begin"/>
      </w:r>
      <w:r w:rsidR="00042617" w:rsidRPr="00DA30CA">
        <w:rPr>
          <w:rFonts w:ascii="Times New Roman" w:hAnsi="Times New Roman" w:cs="Times New Roman"/>
          <w:b/>
          <w:color w:val="auto"/>
          <w:sz w:val="28"/>
          <w:szCs w:val="28"/>
        </w:rPr>
        <w:instrText xml:space="preserve"> TC \l1 "</w:instrText>
      </w:r>
      <w:bookmarkStart w:id="42" w:name="_Toc363192324"/>
      <w:r w:rsidR="00042617" w:rsidRPr="00DA30CA">
        <w:rPr>
          <w:rFonts w:ascii="Times New Roman" w:hAnsi="Times New Roman" w:cs="Times New Roman"/>
          <w:b/>
          <w:color w:val="auto"/>
          <w:sz w:val="28"/>
          <w:szCs w:val="28"/>
        </w:rPr>
        <w:instrText>3.  REVIEW OF STATE OIL AND NATURAL GAS RULES</w:instrText>
      </w:r>
      <w:bookmarkEnd w:id="42"/>
      <w:r w:rsidR="00E21C92" w:rsidRPr="00DA30CA">
        <w:rPr>
          <w:rFonts w:ascii="Times New Roman" w:hAnsi="Times New Roman" w:cs="Times New Roman"/>
          <w:b/>
          <w:color w:val="auto"/>
          <w:sz w:val="28"/>
          <w:szCs w:val="28"/>
        </w:rPr>
        <w:fldChar w:fldCharType="end"/>
      </w:r>
    </w:p>
    <w:p w:rsidR="00042617" w:rsidRPr="00D15774" w:rsidRDefault="00042617">
      <w:pPr>
        <w:widowControl w:val="0"/>
        <w:spacing w:line="300" w:lineRule="auto"/>
      </w:pPr>
    </w:p>
    <w:p w:rsidR="00042617" w:rsidRPr="008A07D5" w:rsidRDefault="00042617" w:rsidP="000B0BB8">
      <w:pPr>
        <w:pStyle w:val="Heading2"/>
        <w:rPr>
          <w:rFonts w:ascii="Times New Roman" w:hAnsi="Times New Roman" w:cs="Times New Roman"/>
          <w:color w:val="auto"/>
        </w:rPr>
      </w:pPr>
      <w:bookmarkStart w:id="43" w:name="_Toc369087000"/>
      <w:r w:rsidRPr="008A07D5">
        <w:rPr>
          <w:rFonts w:ascii="Times New Roman" w:hAnsi="Times New Roman" w:cs="Times New Roman"/>
          <w:color w:val="auto"/>
        </w:rPr>
        <w:t>a.  Summary of Existing State Rules</w:t>
      </w:r>
      <w:bookmarkEnd w:id="43"/>
      <w:r w:rsidR="00E21C92" w:rsidRPr="008A07D5">
        <w:rPr>
          <w:rFonts w:ascii="Times New Roman" w:hAnsi="Times New Roman" w:cs="Times New Roman"/>
          <w:color w:val="auto"/>
        </w:rPr>
        <w:fldChar w:fldCharType="begin"/>
      </w:r>
      <w:r w:rsidRPr="008A07D5">
        <w:rPr>
          <w:rFonts w:ascii="Times New Roman" w:hAnsi="Times New Roman" w:cs="Times New Roman"/>
          <w:color w:val="auto"/>
        </w:rPr>
        <w:instrText xml:space="preserve"> TC \l2 "</w:instrText>
      </w:r>
      <w:bookmarkStart w:id="44" w:name="_Toc363192325"/>
      <w:r w:rsidRPr="008A07D5">
        <w:rPr>
          <w:rFonts w:ascii="Times New Roman" w:hAnsi="Times New Roman" w:cs="Times New Roman"/>
          <w:color w:val="auto"/>
        </w:rPr>
        <w:instrText>a.  Summary of Existing State Rules</w:instrText>
      </w:r>
      <w:bookmarkEnd w:id="44"/>
      <w:r w:rsidR="00E21C92" w:rsidRPr="008A07D5">
        <w:rPr>
          <w:rFonts w:ascii="Times New Roman" w:hAnsi="Times New Roman" w:cs="Times New Roman"/>
          <w:color w:val="auto"/>
        </w:rPr>
        <w:fldChar w:fldCharType="end"/>
      </w:r>
    </w:p>
    <w:p w:rsidR="00042617" w:rsidRPr="00D15774" w:rsidRDefault="00042617">
      <w:pPr>
        <w:widowControl w:val="0"/>
        <w:spacing w:line="300" w:lineRule="auto"/>
      </w:pPr>
    </w:p>
    <w:p w:rsidR="00F40159" w:rsidRPr="00D15774" w:rsidRDefault="00553E38" w:rsidP="00F40159">
      <w:pPr>
        <w:widowControl w:val="0"/>
        <w:spacing w:line="300" w:lineRule="auto"/>
        <w:rPr>
          <w:color w:val="000000"/>
          <w:szCs w:val="24"/>
        </w:rPr>
      </w:pPr>
      <w:r w:rsidRPr="00D15774">
        <w:t xml:space="preserve">Table </w:t>
      </w:r>
      <w:r w:rsidR="00416BE9" w:rsidRPr="00D15774">
        <w:t>2</w:t>
      </w:r>
      <w:r w:rsidRPr="00D15774">
        <w:t xml:space="preserve"> gives a summary of the existing State O&amp;G rules, as compared to the adopted federal regulation</w:t>
      </w:r>
      <w:r w:rsidR="00415B5A" w:rsidRPr="00D15774">
        <w:t>s for VOC emissions and for minor source permitting</w:t>
      </w:r>
      <w:r w:rsidRPr="00D15774">
        <w:t xml:space="preserve">.  </w:t>
      </w:r>
      <w:r w:rsidR="00F40159" w:rsidRPr="00D15774">
        <w:t xml:space="preserve">Table </w:t>
      </w:r>
      <w:r w:rsidR="00416BE9" w:rsidRPr="00D15774">
        <w:t>3</w:t>
      </w:r>
      <w:r w:rsidR="00F40159" w:rsidRPr="00D15774">
        <w:t xml:space="preserve"> gives a summary of the existing State O&amp;G rules, as compared to the adopted federal regulations for NOx emissions.  Following the tables are state by state discussions of these requirements.</w:t>
      </w:r>
    </w:p>
    <w:p w:rsidR="00F40159" w:rsidRPr="00D15774" w:rsidRDefault="00F40159">
      <w:pPr>
        <w:widowControl w:val="0"/>
        <w:spacing w:line="300" w:lineRule="auto"/>
        <w:sectPr w:rsidR="00F40159" w:rsidRPr="00D15774" w:rsidSect="00115125">
          <w:headerReference w:type="even" r:id="rId20"/>
          <w:headerReference w:type="default" r:id="rId21"/>
          <w:footerReference w:type="even" r:id="rId22"/>
          <w:footerReference w:type="default" r:id="rId23"/>
          <w:pgSz w:w="12240" w:h="15840"/>
          <w:pgMar w:top="1920" w:right="1440" w:bottom="1920" w:left="1440" w:header="1440" w:footer="1440" w:gutter="0"/>
          <w:pgNumType w:start="1"/>
          <w:cols w:space="720"/>
          <w:docGrid w:linePitch="326"/>
        </w:sectPr>
      </w:pPr>
    </w:p>
    <w:tbl>
      <w:tblPr>
        <w:tblW w:w="493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1358"/>
        <w:gridCol w:w="1773"/>
        <w:gridCol w:w="1083"/>
        <w:gridCol w:w="2338"/>
        <w:gridCol w:w="1439"/>
        <w:gridCol w:w="1201"/>
        <w:gridCol w:w="1543"/>
        <w:gridCol w:w="1543"/>
        <w:gridCol w:w="2086"/>
      </w:tblGrid>
      <w:tr w:rsidR="00D40C91" w:rsidRPr="00D15774" w:rsidTr="00C45751">
        <w:trPr>
          <w:cantSplit/>
          <w:trHeight w:val="530"/>
          <w:tblHeader/>
        </w:trPr>
        <w:tc>
          <w:tcPr>
            <w:tcW w:w="5000" w:type="pct"/>
            <w:gridSpan w:val="9"/>
            <w:shd w:val="clear" w:color="auto" w:fill="auto"/>
            <w:vAlign w:val="center"/>
          </w:tcPr>
          <w:p w:rsidR="00D40C91" w:rsidRPr="008A07D5" w:rsidRDefault="00D40C91" w:rsidP="008A07D5">
            <w:pPr>
              <w:pStyle w:val="Heading4"/>
              <w:jc w:val="center"/>
              <w:rPr>
                <w:rFonts w:ascii="Times New Roman" w:hAnsi="Times New Roman" w:cs="Times New Roman"/>
                <w:i w:val="0"/>
                <w:color w:val="000000"/>
              </w:rPr>
            </w:pPr>
            <w:bookmarkStart w:id="45" w:name="_Toc369087001"/>
            <w:r w:rsidRPr="008A07D5">
              <w:rPr>
                <w:rFonts w:ascii="Times New Roman" w:hAnsi="Times New Roman" w:cs="Times New Roman"/>
                <w:i w:val="0"/>
                <w:color w:val="auto"/>
              </w:rPr>
              <w:lastRenderedPageBreak/>
              <w:t xml:space="preserve">Table </w:t>
            </w:r>
            <w:r w:rsidR="00416BE9" w:rsidRPr="008A07D5">
              <w:rPr>
                <w:rFonts w:ascii="Times New Roman" w:hAnsi="Times New Roman" w:cs="Times New Roman"/>
                <w:i w:val="0"/>
                <w:color w:val="auto"/>
              </w:rPr>
              <w:t>2</w:t>
            </w:r>
            <w:r w:rsidRPr="008A07D5">
              <w:rPr>
                <w:rFonts w:ascii="Times New Roman" w:hAnsi="Times New Roman" w:cs="Times New Roman"/>
                <w:i w:val="0"/>
                <w:color w:val="auto"/>
              </w:rPr>
              <w:t>:  State Control Regulations as Compared to Federal Rules (VOC &amp; Minor Source Permits)</w:t>
            </w:r>
            <w:bookmarkEnd w:id="45"/>
            <w:r w:rsidR="0092323A" w:rsidRPr="008A07D5">
              <w:rPr>
                <w:rFonts w:ascii="Times New Roman" w:hAnsi="Times New Roman" w:cs="Times New Roman"/>
                <w:i w:val="0"/>
              </w:rPr>
              <w:fldChar w:fldCharType="begin"/>
            </w:r>
            <w:r w:rsidR="0092323A" w:rsidRPr="008A07D5">
              <w:rPr>
                <w:rFonts w:ascii="Times New Roman" w:hAnsi="Times New Roman" w:cs="Times New Roman"/>
                <w:i w:val="0"/>
              </w:rPr>
              <w:instrText xml:space="preserve"> TC \l</w:instrText>
            </w:r>
            <w:r w:rsidR="00CD570D" w:rsidRPr="008A07D5">
              <w:rPr>
                <w:rFonts w:ascii="Times New Roman" w:hAnsi="Times New Roman" w:cs="Times New Roman"/>
                <w:i w:val="0"/>
              </w:rPr>
              <w:instrText>3</w:instrText>
            </w:r>
            <w:r w:rsidR="0092323A" w:rsidRPr="008A07D5">
              <w:rPr>
                <w:rFonts w:ascii="Times New Roman" w:hAnsi="Times New Roman" w:cs="Times New Roman"/>
                <w:i w:val="0"/>
              </w:rPr>
              <w:instrText xml:space="preserve"> "Table 1:  State Control Regs as Compared to Federal Rules (VOC</w:instrText>
            </w:r>
            <w:r w:rsidR="001F7144" w:rsidRPr="008A07D5">
              <w:rPr>
                <w:rFonts w:ascii="Times New Roman" w:hAnsi="Times New Roman" w:cs="Times New Roman"/>
                <w:i w:val="0"/>
              </w:rPr>
              <w:instrText>\</w:instrText>
            </w:r>
            <w:r w:rsidR="0092323A" w:rsidRPr="008A07D5">
              <w:rPr>
                <w:rFonts w:ascii="Times New Roman" w:hAnsi="Times New Roman" w:cs="Times New Roman"/>
                <w:i w:val="0"/>
              </w:rPr>
              <w:instrText>Minor Sources</w:instrText>
            </w:r>
            <w:r w:rsidR="0092323A" w:rsidRPr="008A07D5">
              <w:rPr>
                <w:rFonts w:ascii="Times New Roman" w:hAnsi="Times New Roman" w:cs="Times New Roman"/>
                <w:i w:val="0"/>
              </w:rPr>
              <w:fldChar w:fldCharType="end"/>
            </w:r>
          </w:p>
        </w:tc>
      </w:tr>
      <w:tr w:rsidR="00D40C91" w:rsidRPr="00D15774" w:rsidTr="00C45751">
        <w:trPr>
          <w:cantSplit/>
          <w:trHeight w:val="327"/>
          <w:tblHeader/>
        </w:trPr>
        <w:tc>
          <w:tcPr>
            <w:tcW w:w="473" w:type="pct"/>
            <w:vMerge w:val="restart"/>
            <w:shd w:val="clear" w:color="auto" w:fill="auto"/>
            <w:vAlign w:val="center"/>
            <w:hideMark/>
          </w:tcPr>
          <w:p w:rsidR="00D40C91" w:rsidRPr="00D15774" w:rsidRDefault="00D40C91" w:rsidP="009E74DF">
            <w:pPr>
              <w:jc w:val="center"/>
              <w:rPr>
                <w:b/>
                <w:bCs/>
                <w:color w:val="000000"/>
                <w:sz w:val="19"/>
                <w:szCs w:val="19"/>
              </w:rPr>
            </w:pPr>
            <w:bookmarkStart w:id="46" w:name="RANGE!A1:I10"/>
            <w:r w:rsidRPr="00D15774">
              <w:rPr>
                <w:b/>
                <w:bCs/>
                <w:color w:val="000000"/>
                <w:sz w:val="19"/>
                <w:szCs w:val="19"/>
              </w:rPr>
              <w:t>Source Category</w:t>
            </w:r>
          </w:p>
        </w:tc>
        <w:bookmarkEnd w:id="46"/>
        <w:tc>
          <w:tcPr>
            <w:tcW w:w="617" w:type="pct"/>
            <w:vMerge w:val="restart"/>
            <w:shd w:val="clear" w:color="auto" w:fill="auto"/>
            <w:vAlign w:val="center"/>
          </w:tcPr>
          <w:p w:rsidR="00D40C91" w:rsidRPr="00D15774" w:rsidRDefault="00D40C91" w:rsidP="009E74DF">
            <w:pPr>
              <w:jc w:val="center"/>
              <w:rPr>
                <w:b/>
                <w:bCs/>
                <w:color w:val="000000"/>
                <w:sz w:val="19"/>
                <w:szCs w:val="19"/>
              </w:rPr>
            </w:pPr>
            <w:r w:rsidRPr="00D15774">
              <w:rPr>
                <w:b/>
                <w:bCs/>
                <w:color w:val="000000"/>
                <w:sz w:val="19"/>
                <w:szCs w:val="19"/>
              </w:rPr>
              <w:t>Federal Regulations</w:t>
            </w:r>
          </w:p>
        </w:tc>
        <w:tc>
          <w:tcPr>
            <w:tcW w:w="3910" w:type="pct"/>
            <w:gridSpan w:val="7"/>
            <w:shd w:val="clear" w:color="auto" w:fill="auto"/>
            <w:vAlign w:val="bottom"/>
            <w:hideMark/>
          </w:tcPr>
          <w:p w:rsidR="00D40C91" w:rsidRPr="00D15774" w:rsidRDefault="00C45751" w:rsidP="009E74DF">
            <w:pPr>
              <w:jc w:val="center"/>
              <w:rPr>
                <w:b/>
                <w:bCs/>
                <w:color w:val="000000"/>
                <w:sz w:val="19"/>
                <w:szCs w:val="19"/>
              </w:rPr>
            </w:pPr>
            <w:r w:rsidRPr="00D15774">
              <w:rPr>
                <w:b/>
                <w:bCs/>
                <w:color w:val="000000"/>
                <w:sz w:val="19"/>
                <w:szCs w:val="19"/>
              </w:rPr>
              <w:t>St</w:t>
            </w:r>
            <w:r w:rsidR="00D40C91" w:rsidRPr="00D15774">
              <w:rPr>
                <w:b/>
                <w:bCs/>
                <w:color w:val="000000"/>
                <w:sz w:val="19"/>
                <w:szCs w:val="19"/>
              </w:rPr>
              <w:t>ate Regulations</w:t>
            </w:r>
          </w:p>
        </w:tc>
      </w:tr>
      <w:tr w:rsidR="00D40C91" w:rsidRPr="00D15774" w:rsidTr="00C45751">
        <w:trPr>
          <w:cantSplit/>
          <w:trHeight w:val="270"/>
          <w:tblHeader/>
        </w:trPr>
        <w:tc>
          <w:tcPr>
            <w:tcW w:w="473" w:type="pct"/>
            <w:vMerge/>
            <w:shd w:val="clear" w:color="auto" w:fill="auto"/>
            <w:noWrap/>
            <w:vAlign w:val="center"/>
            <w:hideMark/>
          </w:tcPr>
          <w:p w:rsidR="00D40C91" w:rsidRPr="00D15774" w:rsidRDefault="00D40C91" w:rsidP="009E74DF">
            <w:pPr>
              <w:jc w:val="center"/>
              <w:rPr>
                <w:b/>
                <w:bCs/>
                <w:color w:val="000000"/>
                <w:sz w:val="19"/>
                <w:szCs w:val="19"/>
              </w:rPr>
            </w:pPr>
          </w:p>
        </w:tc>
        <w:tc>
          <w:tcPr>
            <w:tcW w:w="617" w:type="pct"/>
            <w:vMerge/>
            <w:shd w:val="clear" w:color="auto" w:fill="auto"/>
            <w:vAlign w:val="bottom"/>
            <w:hideMark/>
          </w:tcPr>
          <w:p w:rsidR="00D40C91" w:rsidRPr="00D15774" w:rsidRDefault="00D40C91" w:rsidP="009E74DF">
            <w:pPr>
              <w:jc w:val="center"/>
              <w:rPr>
                <w:b/>
                <w:bCs/>
                <w:color w:val="000000"/>
                <w:sz w:val="19"/>
                <w:szCs w:val="19"/>
              </w:rPr>
            </w:pPr>
          </w:p>
        </w:tc>
        <w:tc>
          <w:tcPr>
            <w:tcW w:w="377" w:type="pct"/>
            <w:shd w:val="clear" w:color="auto" w:fill="auto"/>
            <w:vAlign w:val="bottom"/>
            <w:hideMark/>
          </w:tcPr>
          <w:p w:rsidR="00D40C91" w:rsidRPr="00D15774" w:rsidRDefault="00D40C91" w:rsidP="009E74DF">
            <w:pPr>
              <w:jc w:val="center"/>
              <w:rPr>
                <w:color w:val="000000"/>
                <w:sz w:val="19"/>
                <w:szCs w:val="19"/>
              </w:rPr>
            </w:pPr>
            <w:r w:rsidRPr="00D15774">
              <w:rPr>
                <w:color w:val="000000"/>
                <w:sz w:val="19"/>
                <w:szCs w:val="19"/>
              </w:rPr>
              <w:t>Alaska</w:t>
            </w:r>
          </w:p>
        </w:tc>
        <w:tc>
          <w:tcPr>
            <w:tcW w:w="814" w:type="pct"/>
            <w:shd w:val="clear" w:color="auto" w:fill="auto"/>
            <w:vAlign w:val="bottom"/>
            <w:hideMark/>
          </w:tcPr>
          <w:p w:rsidR="00D40C91" w:rsidRPr="00D15774" w:rsidRDefault="00D40C91" w:rsidP="009E74DF">
            <w:pPr>
              <w:jc w:val="center"/>
              <w:rPr>
                <w:color w:val="000000"/>
                <w:sz w:val="19"/>
                <w:szCs w:val="19"/>
              </w:rPr>
            </w:pPr>
            <w:r w:rsidRPr="00D15774">
              <w:rPr>
                <w:color w:val="000000"/>
                <w:sz w:val="19"/>
                <w:szCs w:val="19"/>
              </w:rPr>
              <w:t>Colorado</w:t>
            </w:r>
          </w:p>
        </w:tc>
        <w:tc>
          <w:tcPr>
            <w:tcW w:w="501" w:type="pct"/>
            <w:shd w:val="clear" w:color="auto" w:fill="auto"/>
            <w:vAlign w:val="bottom"/>
            <w:hideMark/>
          </w:tcPr>
          <w:p w:rsidR="00D40C91" w:rsidRPr="00D15774" w:rsidRDefault="00D40C91" w:rsidP="009E74DF">
            <w:pPr>
              <w:jc w:val="center"/>
              <w:rPr>
                <w:color w:val="000000"/>
                <w:sz w:val="19"/>
                <w:szCs w:val="19"/>
              </w:rPr>
            </w:pPr>
            <w:r w:rsidRPr="00D15774">
              <w:rPr>
                <w:color w:val="000000"/>
                <w:sz w:val="19"/>
                <w:szCs w:val="19"/>
              </w:rPr>
              <w:t>Montana</w:t>
            </w:r>
          </w:p>
        </w:tc>
        <w:tc>
          <w:tcPr>
            <w:tcW w:w="418" w:type="pct"/>
            <w:shd w:val="clear" w:color="auto" w:fill="auto"/>
            <w:vAlign w:val="bottom"/>
            <w:hideMark/>
          </w:tcPr>
          <w:p w:rsidR="00D40C91" w:rsidRPr="00D15774" w:rsidRDefault="00D40C91" w:rsidP="009E74DF">
            <w:pPr>
              <w:jc w:val="center"/>
              <w:rPr>
                <w:color w:val="000000"/>
                <w:sz w:val="19"/>
                <w:szCs w:val="19"/>
              </w:rPr>
            </w:pPr>
            <w:r w:rsidRPr="00D15774">
              <w:rPr>
                <w:color w:val="000000"/>
                <w:sz w:val="19"/>
                <w:szCs w:val="19"/>
              </w:rPr>
              <w:t>New Mexico</w:t>
            </w:r>
          </w:p>
        </w:tc>
        <w:tc>
          <w:tcPr>
            <w:tcW w:w="537" w:type="pct"/>
            <w:shd w:val="clear" w:color="auto" w:fill="auto"/>
            <w:vAlign w:val="bottom"/>
            <w:hideMark/>
          </w:tcPr>
          <w:p w:rsidR="00D40C91" w:rsidRPr="00D15774" w:rsidRDefault="00D40C91" w:rsidP="009E74DF">
            <w:pPr>
              <w:jc w:val="center"/>
              <w:rPr>
                <w:color w:val="000000"/>
                <w:sz w:val="19"/>
                <w:szCs w:val="19"/>
              </w:rPr>
            </w:pPr>
            <w:r w:rsidRPr="00D15774">
              <w:rPr>
                <w:color w:val="000000"/>
                <w:sz w:val="19"/>
                <w:szCs w:val="19"/>
              </w:rPr>
              <w:t>North Dakota</w:t>
            </w:r>
          </w:p>
        </w:tc>
        <w:tc>
          <w:tcPr>
            <w:tcW w:w="537" w:type="pct"/>
            <w:shd w:val="clear" w:color="auto" w:fill="auto"/>
            <w:vAlign w:val="bottom"/>
            <w:hideMark/>
          </w:tcPr>
          <w:p w:rsidR="00D40C91" w:rsidRPr="00D15774" w:rsidRDefault="00D40C91" w:rsidP="009E74DF">
            <w:pPr>
              <w:jc w:val="center"/>
              <w:rPr>
                <w:color w:val="000000"/>
                <w:sz w:val="19"/>
                <w:szCs w:val="19"/>
              </w:rPr>
            </w:pPr>
            <w:r w:rsidRPr="00D15774">
              <w:rPr>
                <w:color w:val="000000"/>
                <w:sz w:val="19"/>
                <w:szCs w:val="19"/>
              </w:rPr>
              <w:t>Utah</w:t>
            </w:r>
          </w:p>
        </w:tc>
        <w:tc>
          <w:tcPr>
            <w:tcW w:w="726" w:type="pct"/>
            <w:shd w:val="clear" w:color="auto" w:fill="auto"/>
            <w:vAlign w:val="bottom"/>
            <w:hideMark/>
          </w:tcPr>
          <w:p w:rsidR="00D40C91" w:rsidRPr="00D15774" w:rsidRDefault="00D40C91" w:rsidP="009E74DF">
            <w:pPr>
              <w:jc w:val="center"/>
              <w:rPr>
                <w:color w:val="000000"/>
                <w:sz w:val="19"/>
                <w:szCs w:val="19"/>
              </w:rPr>
            </w:pPr>
            <w:r w:rsidRPr="00D15774">
              <w:rPr>
                <w:color w:val="000000"/>
                <w:sz w:val="19"/>
                <w:szCs w:val="19"/>
              </w:rPr>
              <w:t>Wyoming</w:t>
            </w:r>
          </w:p>
        </w:tc>
      </w:tr>
      <w:tr w:rsidR="009E74DF" w:rsidRPr="00D15774" w:rsidTr="00C45751">
        <w:trPr>
          <w:cantSplit/>
          <w:trHeight w:val="150"/>
          <w:tblHeader/>
        </w:trPr>
        <w:tc>
          <w:tcPr>
            <w:tcW w:w="473" w:type="pct"/>
            <w:shd w:val="clear" w:color="000000" w:fill="000000"/>
            <w:noWrap/>
            <w:vAlign w:val="bottom"/>
            <w:hideMark/>
          </w:tcPr>
          <w:p w:rsidR="009E74DF" w:rsidRPr="00D15774" w:rsidRDefault="009E74DF" w:rsidP="009E74DF">
            <w:pPr>
              <w:rPr>
                <w:color w:val="000000"/>
                <w:sz w:val="18"/>
                <w:szCs w:val="18"/>
              </w:rPr>
            </w:pPr>
            <w:r w:rsidRPr="00D15774">
              <w:rPr>
                <w:color w:val="000000"/>
                <w:sz w:val="18"/>
                <w:szCs w:val="18"/>
              </w:rPr>
              <w:t> </w:t>
            </w:r>
          </w:p>
        </w:tc>
        <w:tc>
          <w:tcPr>
            <w:tcW w:w="617" w:type="pct"/>
            <w:shd w:val="clear" w:color="000000" w:fill="000000"/>
            <w:vAlign w:val="bottom"/>
            <w:hideMark/>
          </w:tcPr>
          <w:p w:rsidR="009E74DF" w:rsidRPr="00D15774" w:rsidRDefault="009E74DF" w:rsidP="009E74DF">
            <w:pPr>
              <w:rPr>
                <w:color w:val="000000"/>
                <w:sz w:val="18"/>
                <w:szCs w:val="18"/>
              </w:rPr>
            </w:pPr>
            <w:r w:rsidRPr="00D15774">
              <w:rPr>
                <w:color w:val="000000"/>
                <w:sz w:val="18"/>
                <w:szCs w:val="18"/>
              </w:rPr>
              <w:t> </w:t>
            </w:r>
          </w:p>
        </w:tc>
        <w:tc>
          <w:tcPr>
            <w:tcW w:w="377" w:type="pct"/>
            <w:shd w:val="clear" w:color="000000" w:fill="000000"/>
            <w:vAlign w:val="bottom"/>
            <w:hideMark/>
          </w:tcPr>
          <w:p w:rsidR="009E74DF" w:rsidRPr="00D15774" w:rsidRDefault="009E74DF" w:rsidP="009E74DF">
            <w:pPr>
              <w:rPr>
                <w:color w:val="000000"/>
                <w:sz w:val="18"/>
                <w:szCs w:val="18"/>
              </w:rPr>
            </w:pPr>
            <w:r w:rsidRPr="00D15774">
              <w:rPr>
                <w:color w:val="000000"/>
                <w:sz w:val="18"/>
                <w:szCs w:val="18"/>
              </w:rPr>
              <w:t> </w:t>
            </w:r>
          </w:p>
        </w:tc>
        <w:tc>
          <w:tcPr>
            <w:tcW w:w="814" w:type="pct"/>
            <w:shd w:val="clear" w:color="000000" w:fill="000000"/>
            <w:vAlign w:val="bottom"/>
            <w:hideMark/>
          </w:tcPr>
          <w:p w:rsidR="009E74DF" w:rsidRPr="00D15774" w:rsidRDefault="009E74DF" w:rsidP="009E74DF">
            <w:pPr>
              <w:rPr>
                <w:color w:val="000000"/>
                <w:sz w:val="18"/>
                <w:szCs w:val="18"/>
              </w:rPr>
            </w:pPr>
            <w:r w:rsidRPr="00D15774">
              <w:rPr>
                <w:color w:val="000000"/>
                <w:sz w:val="18"/>
                <w:szCs w:val="18"/>
              </w:rPr>
              <w:t> </w:t>
            </w:r>
          </w:p>
        </w:tc>
        <w:tc>
          <w:tcPr>
            <w:tcW w:w="501" w:type="pct"/>
            <w:shd w:val="clear" w:color="000000" w:fill="000000"/>
            <w:vAlign w:val="bottom"/>
            <w:hideMark/>
          </w:tcPr>
          <w:p w:rsidR="009E74DF" w:rsidRPr="00D15774" w:rsidRDefault="009E74DF" w:rsidP="009E74DF">
            <w:pPr>
              <w:rPr>
                <w:color w:val="000000"/>
                <w:sz w:val="18"/>
                <w:szCs w:val="18"/>
              </w:rPr>
            </w:pPr>
            <w:r w:rsidRPr="00D15774">
              <w:rPr>
                <w:color w:val="000000"/>
                <w:sz w:val="18"/>
                <w:szCs w:val="18"/>
              </w:rPr>
              <w:t> </w:t>
            </w:r>
          </w:p>
        </w:tc>
        <w:tc>
          <w:tcPr>
            <w:tcW w:w="418" w:type="pct"/>
            <w:shd w:val="clear" w:color="000000" w:fill="000000"/>
            <w:vAlign w:val="bottom"/>
            <w:hideMark/>
          </w:tcPr>
          <w:p w:rsidR="009E74DF" w:rsidRPr="00D15774" w:rsidRDefault="009E74DF" w:rsidP="009E74DF">
            <w:pPr>
              <w:rPr>
                <w:color w:val="000000"/>
                <w:sz w:val="18"/>
                <w:szCs w:val="18"/>
              </w:rPr>
            </w:pPr>
            <w:r w:rsidRPr="00D15774">
              <w:rPr>
                <w:color w:val="000000"/>
                <w:sz w:val="18"/>
                <w:szCs w:val="18"/>
              </w:rPr>
              <w:t> </w:t>
            </w:r>
          </w:p>
        </w:tc>
        <w:tc>
          <w:tcPr>
            <w:tcW w:w="537" w:type="pct"/>
            <w:shd w:val="clear" w:color="000000" w:fill="000000"/>
            <w:vAlign w:val="bottom"/>
            <w:hideMark/>
          </w:tcPr>
          <w:p w:rsidR="009E74DF" w:rsidRPr="00D15774" w:rsidRDefault="009E74DF" w:rsidP="009E74DF">
            <w:pPr>
              <w:rPr>
                <w:color w:val="000000"/>
                <w:sz w:val="18"/>
                <w:szCs w:val="18"/>
              </w:rPr>
            </w:pPr>
            <w:r w:rsidRPr="00D15774">
              <w:rPr>
                <w:color w:val="000000"/>
                <w:sz w:val="18"/>
                <w:szCs w:val="18"/>
              </w:rPr>
              <w:t> </w:t>
            </w:r>
          </w:p>
        </w:tc>
        <w:tc>
          <w:tcPr>
            <w:tcW w:w="537" w:type="pct"/>
            <w:shd w:val="clear" w:color="000000" w:fill="000000"/>
            <w:vAlign w:val="bottom"/>
            <w:hideMark/>
          </w:tcPr>
          <w:p w:rsidR="009E74DF" w:rsidRPr="00D15774" w:rsidRDefault="009E74DF" w:rsidP="009E74DF">
            <w:pPr>
              <w:rPr>
                <w:color w:val="000000"/>
                <w:sz w:val="18"/>
                <w:szCs w:val="18"/>
              </w:rPr>
            </w:pPr>
            <w:r w:rsidRPr="00D15774">
              <w:rPr>
                <w:color w:val="000000"/>
                <w:sz w:val="18"/>
                <w:szCs w:val="18"/>
              </w:rPr>
              <w:t> </w:t>
            </w:r>
          </w:p>
        </w:tc>
        <w:tc>
          <w:tcPr>
            <w:tcW w:w="726" w:type="pct"/>
            <w:shd w:val="clear" w:color="000000" w:fill="000000"/>
            <w:vAlign w:val="bottom"/>
            <w:hideMark/>
          </w:tcPr>
          <w:p w:rsidR="009E74DF" w:rsidRPr="00D15774" w:rsidRDefault="009E74DF" w:rsidP="009E74DF">
            <w:pPr>
              <w:rPr>
                <w:color w:val="000000"/>
                <w:sz w:val="18"/>
                <w:szCs w:val="18"/>
              </w:rPr>
            </w:pPr>
            <w:r w:rsidRPr="00D15774">
              <w:rPr>
                <w:color w:val="000000"/>
                <w:sz w:val="18"/>
                <w:szCs w:val="18"/>
              </w:rPr>
              <w:t> </w:t>
            </w:r>
          </w:p>
        </w:tc>
      </w:tr>
      <w:tr w:rsidR="009E74DF" w:rsidRPr="00D15774" w:rsidTr="00C45751">
        <w:trPr>
          <w:cantSplit/>
          <w:trHeight w:val="2913"/>
        </w:trPr>
        <w:tc>
          <w:tcPr>
            <w:tcW w:w="473" w:type="pct"/>
            <w:shd w:val="clear" w:color="auto" w:fill="auto"/>
            <w:noWrap/>
            <w:vAlign w:val="center"/>
            <w:hideMark/>
          </w:tcPr>
          <w:p w:rsidR="009E74DF" w:rsidRPr="00D15774" w:rsidRDefault="009E74DF" w:rsidP="009E74DF">
            <w:pPr>
              <w:rPr>
                <w:color w:val="000000"/>
                <w:sz w:val="18"/>
                <w:szCs w:val="18"/>
              </w:rPr>
            </w:pPr>
            <w:r w:rsidRPr="00D15774">
              <w:rPr>
                <w:color w:val="000000"/>
                <w:sz w:val="18"/>
                <w:szCs w:val="18"/>
              </w:rPr>
              <w:t>Well Completions</w:t>
            </w:r>
          </w:p>
        </w:tc>
        <w:tc>
          <w:tcPr>
            <w:tcW w:w="617" w:type="pct"/>
            <w:shd w:val="clear" w:color="auto" w:fill="auto"/>
            <w:vAlign w:val="center"/>
            <w:hideMark/>
          </w:tcPr>
          <w:p w:rsidR="009E74DF" w:rsidRPr="00D15774" w:rsidRDefault="009E74DF" w:rsidP="009E74DF">
            <w:pPr>
              <w:rPr>
                <w:color w:val="000000"/>
                <w:sz w:val="18"/>
                <w:szCs w:val="18"/>
              </w:rPr>
            </w:pPr>
            <w:r w:rsidRPr="00D15774">
              <w:rPr>
                <w:b/>
                <w:bCs/>
                <w:color w:val="000000"/>
                <w:sz w:val="18"/>
                <w:szCs w:val="18"/>
                <w:u w:val="single"/>
              </w:rPr>
              <w:t>Subpart OOOO</w:t>
            </w:r>
            <w:r w:rsidRPr="00D15774">
              <w:rPr>
                <w:color w:val="000000"/>
                <w:sz w:val="18"/>
                <w:szCs w:val="18"/>
              </w:rPr>
              <w:t xml:space="preserve">:  Green Completions (in combination with pit flaring for gas not suitable for entering a pipeline) required for all hydraulically fractured or re-fractured, non-exploratory or non-delineation wells </w:t>
            </w:r>
          </w:p>
        </w:tc>
        <w:tc>
          <w:tcPr>
            <w:tcW w:w="377" w:type="pct"/>
            <w:shd w:val="clear" w:color="auto" w:fill="auto"/>
            <w:vAlign w:val="center"/>
            <w:hideMark/>
          </w:tcPr>
          <w:p w:rsidR="009E74DF" w:rsidRPr="00D15774" w:rsidRDefault="009E74DF" w:rsidP="009E74DF">
            <w:pPr>
              <w:jc w:val="center"/>
              <w:rPr>
                <w:color w:val="000000"/>
                <w:sz w:val="18"/>
                <w:szCs w:val="18"/>
              </w:rPr>
            </w:pPr>
            <w:r w:rsidRPr="00D15774">
              <w:rPr>
                <w:color w:val="000000"/>
                <w:sz w:val="18"/>
                <w:szCs w:val="18"/>
              </w:rPr>
              <w:t>NONE</w:t>
            </w:r>
          </w:p>
        </w:tc>
        <w:tc>
          <w:tcPr>
            <w:tcW w:w="814" w:type="pct"/>
            <w:shd w:val="clear" w:color="auto" w:fill="auto"/>
            <w:vAlign w:val="center"/>
            <w:hideMark/>
          </w:tcPr>
          <w:p w:rsidR="009E74DF" w:rsidRPr="00D15774" w:rsidRDefault="009E74DF" w:rsidP="009E74DF">
            <w:pPr>
              <w:rPr>
                <w:color w:val="000000"/>
                <w:sz w:val="18"/>
                <w:szCs w:val="18"/>
              </w:rPr>
            </w:pPr>
            <w:r w:rsidRPr="00D15774">
              <w:rPr>
                <w:b/>
                <w:bCs/>
                <w:color w:val="000000"/>
                <w:sz w:val="18"/>
                <w:szCs w:val="18"/>
                <w:u w:val="single"/>
              </w:rPr>
              <w:t>COGCC HB-07-1341, Section 805.b(3)</w:t>
            </w:r>
            <w:r w:rsidRPr="00D15774">
              <w:rPr>
                <w:color w:val="000000"/>
                <w:sz w:val="18"/>
                <w:szCs w:val="18"/>
              </w:rPr>
              <w:br/>
              <w:t>Green completions shall be used when technically and economically feasible.  If not feasible, Best Management Practices shall be used.</w:t>
            </w:r>
          </w:p>
        </w:tc>
        <w:tc>
          <w:tcPr>
            <w:tcW w:w="501" w:type="pct"/>
            <w:shd w:val="clear" w:color="auto" w:fill="auto"/>
            <w:vAlign w:val="center"/>
            <w:hideMark/>
          </w:tcPr>
          <w:p w:rsidR="000543A9" w:rsidRPr="00D15774" w:rsidRDefault="000543A9" w:rsidP="00B7184C">
            <w:pPr>
              <w:jc w:val="center"/>
              <w:rPr>
                <w:sz w:val="18"/>
                <w:szCs w:val="18"/>
              </w:rPr>
            </w:pPr>
            <w:r w:rsidRPr="00D15774">
              <w:rPr>
                <w:b/>
                <w:color w:val="000000"/>
                <w:sz w:val="18"/>
                <w:szCs w:val="18"/>
                <w:u w:val="single"/>
              </w:rPr>
              <w:t xml:space="preserve">MT DNRC BOGC </w:t>
            </w:r>
            <w:hyperlink r:id="rId24" w:tgtFrame="RefRule" w:history="1">
              <w:r w:rsidRPr="00D15774">
                <w:rPr>
                  <w:rStyle w:val="Hyperlink"/>
                  <w:sz w:val="18"/>
                  <w:szCs w:val="18"/>
                </w:rPr>
                <w:t>36.22.1221</w:t>
              </w:r>
            </w:hyperlink>
          </w:p>
          <w:p w:rsidR="009E74DF" w:rsidRPr="00D15774" w:rsidRDefault="000543A9" w:rsidP="00B7184C">
            <w:pPr>
              <w:jc w:val="center"/>
              <w:rPr>
                <w:b/>
                <w:bCs/>
                <w:color w:val="000000"/>
                <w:sz w:val="18"/>
                <w:szCs w:val="18"/>
                <w:u w:val="single"/>
              </w:rPr>
            </w:pPr>
            <w:r w:rsidRPr="00D15774">
              <w:rPr>
                <w:sz w:val="18"/>
                <w:szCs w:val="18"/>
              </w:rPr>
              <w:t>All gas vented to the atmosphere at a rate exceeding 20 MCF per day for a period in excess of 72 hours shall be burned</w:t>
            </w:r>
            <w:r w:rsidRPr="00D15774">
              <w:t>.</w:t>
            </w:r>
          </w:p>
        </w:tc>
        <w:tc>
          <w:tcPr>
            <w:tcW w:w="418" w:type="pct"/>
            <w:shd w:val="clear" w:color="auto" w:fill="auto"/>
            <w:vAlign w:val="center"/>
            <w:hideMark/>
          </w:tcPr>
          <w:p w:rsidR="009E74DF" w:rsidRPr="00D15774" w:rsidRDefault="009E74DF" w:rsidP="009E74DF">
            <w:pPr>
              <w:jc w:val="center"/>
              <w:rPr>
                <w:color w:val="000000"/>
                <w:sz w:val="18"/>
                <w:szCs w:val="18"/>
              </w:rPr>
            </w:pPr>
            <w:r w:rsidRPr="00D15774">
              <w:rPr>
                <w:color w:val="000000"/>
                <w:sz w:val="18"/>
                <w:szCs w:val="18"/>
              </w:rPr>
              <w:t>NONE</w:t>
            </w:r>
          </w:p>
        </w:tc>
        <w:tc>
          <w:tcPr>
            <w:tcW w:w="537" w:type="pct"/>
            <w:shd w:val="clear" w:color="auto" w:fill="auto"/>
            <w:vAlign w:val="center"/>
            <w:hideMark/>
          </w:tcPr>
          <w:p w:rsidR="009E74DF" w:rsidRPr="00D15774" w:rsidRDefault="009E74DF" w:rsidP="009E74DF">
            <w:pPr>
              <w:jc w:val="center"/>
              <w:rPr>
                <w:color w:val="000000"/>
                <w:sz w:val="18"/>
                <w:szCs w:val="18"/>
              </w:rPr>
            </w:pPr>
            <w:r w:rsidRPr="00D15774">
              <w:rPr>
                <w:color w:val="000000"/>
                <w:sz w:val="18"/>
                <w:szCs w:val="18"/>
              </w:rPr>
              <w:t>NONE</w:t>
            </w:r>
          </w:p>
        </w:tc>
        <w:tc>
          <w:tcPr>
            <w:tcW w:w="537" w:type="pct"/>
            <w:shd w:val="clear" w:color="auto" w:fill="auto"/>
            <w:vAlign w:val="center"/>
            <w:hideMark/>
          </w:tcPr>
          <w:p w:rsidR="009E74DF" w:rsidRPr="00D15774" w:rsidRDefault="009E74DF" w:rsidP="009E74DF">
            <w:pPr>
              <w:jc w:val="center"/>
              <w:rPr>
                <w:color w:val="000000"/>
                <w:sz w:val="18"/>
                <w:szCs w:val="18"/>
              </w:rPr>
            </w:pPr>
            <w:r w:rsidRPr="00D15774">
              <w:rPr>
                <w:color w:val="000000"/>
                <w:sz w:val="18"/>
                <w:szCs w:val="18"/>
              </w:rPr>
              <w:t>NONE</w:t>
            </w:r>
          </w:p>
        </w:tc>
        <w:tc>
          <w:tcPr>
            <w:tcW w:w="726" w:type="pct"/>
            <w:shd w:val="clear" w:color="auto" w:fill="auto"/>
            <w:vAlign w:val="center"/>
            <w:hideMark/>
          </w:tcPr>
          <w:p w:rsidR="009E74DF" w:rsidRPr="00D15774" w:rsidRDefault="009E74DF" w:rsidP="009E74DF">
            <w:pPr>
              <w:rPr>
                <w:color w:val="000000"/>
                <w:sz w:val="18"/>
                <w:szCs w:val="18"/>
              </w:rPr>
            </w:pPr>
            <w:r w:rsidRPr="00D15774">
              <w:rPr>
                <w:b/>
                <w:bCs/>
                <w:color w:val="000000"/>
                <w:sz w:val="18"/>
                <w:szCs w:val="18"/>
                <w:u w:val="single"/>
              </w:rPr>
              <w:t>C6 S2 O&amp;G Permitting Guidance</w:t>
            </w:r>
            <w:r w:rsidRPr="00D15774">
              <w:rPr>
                <w:color w:val="000000"/>
                <w:sz w:val="18"/>
                <w:szCs w:val="18"/>
              </w:rPr>
              <w:br/>
              <w:t>Wyoming has 3 area categories; 1) Jonah-Pinedale Anticline Development (JPAD), 2) Concentrated Development Area (CDA) &amp; 3) Statewide</w:t>
            </w:r>
            <w:r w:rsidRPr="00D15774">
              <w:rPr>
                <w:color w:val="000000"/>
                <w:sz w:val="18"/>
                <w:szCs w:val="18"/>
              </w:rPr>
              <w:br/>
            </w:r>
            <w:r w:rsidRPr="00D15774">
              <w:rPr>
                <w:color w:val="000000"/>
                <w:sz w:val="18"/>
                <w:szCs w:val="18"/>
              </w:rPr>
              <w:br/>
              <w:t>Green completions are required in the JPAD area and CDA's in Wyoming as of August 1, 2011.</w:t>
            </w:r>
          </w:p>
        </w:tc>
      </w:tr>
      <w:tr w:rsidR="009E74DF" w:rsidRPr="00D15774" w:rsidTr="00C45751">
        <w:trPr>
          <w:cantSplit/>
          <w:trHeight w:val="1890"/>
        </w:trPr>
        <w:tc>
          <w:tcPr>
            <w:tcW w:w="473" w:type="pct"/>
            <w:shd w:val="clear" w:color="auto" w:fill="auto"/>
            <w:noWrap/>
            <w:vAlign w:val="center"/>
            <w:hideMark/>
          </w:tcPr>
          <w:p w:rsidR="009E74DF" w:rsidRPr="00D15774" w:rsidRDefault="009E74DF" w:rsidP="009E74DF">
            <w:pPr>
              <w:rPr>
                <w:color w:val="000000"/>
                <w:sz w:val="18"/>
                <w:szCs w:val="18"/>
              </w:rPr>
            </w:pPr>
            <w:r w:rsidRPr="00D15774">
              <w:rPr>
                <w:color w:val="000000"/>
                <w:sz w:val="18"/>
                <w:szCs w:val="18"/>
              </w:rPr>
              <w:t>Compression</w:t>
            </w:r>
          </w:p>
        </w:tc>
        <w:tc>
          <w:tcPr>
            <w:tcW w:w="617" w:type="pct"/>
            <w:shd w:val="clear" w:color="auto" w:fill="auto"/>
            <w:vAlign w:val="center"/>
            <w:hideMark/>
          </w:tcPr>
          <w:p w:rsidR="009E74DF" w:rsidRPr="00D15774" w:rsidRDefault="009E74DF" w:rsidP="00401DAE">
            <w:pPr>
              <w:rPr>
                <w:color w:val="000000"/>
                <w:sz w:val="18"/>
                <w:szCs w:val="18"/>
              </w:rPr>
            </w:pPr>
            <w:r w:rsidRPr="00D15774">
              <w:rPr>
                <w:b/>
                <w:bCs/>
                <w:color w:val="000000"/>
                <w:sz w:val="18"/>
                <w:szCs w:val="18"/>
                <w:u w:val="single"/>
              </w:rPr>
              <w:t>Subpart OOOO</w:t>
            </w:r>
            <w:r w:rsidRPr="00D15774">
              <w:rPr>
                <w:b/>
                <w:bCs/>
                <w:color w:val="000000"/>
                <w:sz w:val="18"/>
                <w:szCs w:val="18"/>
                <w:u w:val="single"/>
              </w:rPr>
              <w:br/>
              <w:t>FUGITIVE STANDARDS</w:t>
            </w:r>
            <w:r w:rsidRPr="00D15774">
              <w:rPr>
                <w:color w:val="000000"/>
                <w:sz w:val="18"/>
                <w:szCs w:val="18"/>
              </w:rPr>
              <w:t>:  Requires</w:t>
            </w:r>
            <w:r w:rsidR="00A412AB" w:rsidRPr="00D15774">
              <w:rPr>
                <w:color w:val="000000"/>
                <w:sz w:val="18"/>
                <w:szCs w:val="18"/>
              </w:rPr>
              <w:t xml:space="preserve"> wet seal</w:t>
            </w:r>
            <w:r w:rsidRPr="00D15774">
              <w:rPr>
                <w:color w:val="000000"/>
                <w:sz w:val="18"/>
                <w:szCs w:val="18"/>
              </w:rPr>
              <w:t xml:space="preserve"> centrifugal unit</w:t>
            </w:r>
            <w:r w:rsidR="00401DAE" w:rsidRPr="00D15774">
              <w:rPr>
                <w:color w:val="000000"/>
                <w:sz w:val="18"/>
                <w:szCs w:val="18"/>
              </w:rPr>
              <w:t>s to</w:t>
            </w:r>
            <w:r w:rsidR="00A412AB" w:rsidRPr="00D15774">
              <w:rPr>
                <w:color w:val="000000"/>
                <w:sz w:val="18"/>
                <w:szCs w:val="18"/>
              </w:rPr>
              <w:t xml:space="preserve"> </w:t>
            </w:r>
            <w:r w:rsidRPr="00D15774">
              <w:rPr>
                <w:color w:val="000000"/>
                <w:sz w:val="18"/>
                <w:szCs w:val="18"/>
              </w:rPr>
              <w:t xml:space="preserve"> </w:t>
            </w:r>
            <w:r w:rsidR="00A412AB" w:rsidRPr="00D15774">
              <w:rPr>
                <w:color w:val="000000"/>
                <w:sz w:val="18"/>
                <w:szCs w:val="18"/>
              </w:rPr>
              <w:t>achieve 95% VOC control</w:t>
            </w:r>
            <w:r w:rsidRPr="00D15774">
              <w:rPr>
                <w:color w:val="000000"/>
                <w:sz w:val="18"/>
                <w:szCs w:val="18"/>
              </w:rPr>
              <w:t>, an</w:t>
            </w:r>
            <w:r w:rsidR="00401DAE" w:rsidRPr="00D15774">
              <w:rPr>
                <w:color w:val="000000"/>
                <w:sz w:val="18"/>
                <w:szCs w:val="18"/>
              </w:rPr>
              <w:t>d requires</w:t>
            </w:r>
            <w:r w:rsidRPr="00D15774">
              <w:rPr>
                <w:color w:val="000000"/>
                <w:sz w:val="18"/>
                <w:szCs w:val="18"/>
              </w:rPr>
              <w:t xml:space="preserve"> reciprocating engines </w:t>
            </w:r>
            <w:r w:rsidR="00401DAE" w:rsidRPr="00D15774">
              <w:rPr>
                <w:color w:val="000000"/>
                <w:sz w:val="18"/>
                <w:szCs w:val="18"/>
              </w:rPr>
              <w:t xml:space="preserve">to </w:t>
            </w:r>
            <w:r w:rsidRPr="00D15774">
              <w:rPr>
                <w:color w:val="000000"/>
                <w:sz w:val="18"/>
                <w:szCs w:val="18"/>
              </w:rPr>
              <w:t>replace rod packing every 26,000 hour</w:t>
            </w:r>
            <w:r w:rsidR="00A412AB" w:rsidRPr="00D15774">
              <w:rPr>
                <w:color w:val="000000"/>
                <w:sz w:val="18"/>
                <w:szCs w:val="18"/>
              </w:rPr>
              <w:t>s or every 36 month</w:t>
            </w:r>
            <w:r w:rsidRPr="00D15774">
              <w:rPr>
                <w:color w:val="000000"/>
                <w:sz w:val="18"/>
                <w:szCs w:val="18"/>
              </w:rPr>
              <w:t>s</w:t>
            </w:r>
          </w:p>
        </w:tc>
        <w:tc>
          <w:tcPr>
            <w:tcW w:w="377" w:type="pct"/>
            <w:shd w:val="clear" w:color="auto" w:fill="auto"/>
            <w:vAlign w:val="center"/>
            <w:hideMark/>
          </w:tcPr>
          <w:p w:rsidR="009E74DF" w:rsidRPr="00D15774" w:rsidRDefault="009E74DF" w:rsidP="009E74DF">
            <w:pPr>
              <w:jc w:val="center"/>
              <w:rPr>
                <w:color w:val="000000"/>
                <w:sz w:val="18"/>
                <w:szCs w:val="18"/>
              </w:rPr>
            </w:pPr>
            <w:r w:rsidRPr="00D15774">
              <w:rPr>
                <w:color w:val="000000"/>
                <w:sz w:val="18"/>
                <w:szCs w:val="18"/>
              </w:rPr>
              <w:t>NONE</w:t>
            </w:r>
          </w:p>
        </w:tc>
        <w:tc>
          <w:tcPr>
            <w:tcW w:w="814" w:type="pct"/>
            <w:shd w:val="clear" w:color="auto" w:fill="auto"/>
            <w:vAlign w:val="center"/>
            <w:hideMark/>
          </w:tcPr>
          <w:p w:rsidR="009E74DF" w:rsidRPr="00D15774" w:rsidRDefault="009E74DF" w:rsidP="009E74DF">
            <w:pPr>
              <w:jc w:val="center"/>
              <w:rPr>
                <w:color w:val="000000"/>
                <w:sz w:val="18"/>
                <w:szCs w:val="18"/>
              </w:rPr>
            </w:pPr>
            <w:r w:rsidRPr="00D15774">
              <w:rPr>
                <w:color w:val="000000"/>
                <w:sz w:val="18"/>
                <w:szCs w:val="18"/>
              </w:rPr>
              <w:t>NONE</w:t>
            </w:r>
          </w:p>
        </w:tc>
        <w:tc>
          <w:tcPr>
            <w:tcW w:w="501" w:type="pct"/>
            <w:shd w:val="clear" w:color="auto" w:fill="auto"/>
            <w:vAlign w:val="center"/>
            <w:hideMark/>
          </w:tcPr>
          <w:p w:rsidR="001A4365" w:rsidRPr="00D15774" w:rsidRDefault="001A4365" w:rsidP="001A4365">
            <w:pPr>
              <w:jc w:val="center"/>
              <w:rPr>
                <w:color w:val="000000"/>
                <w:sz w:val="18"/>
                <w:szCs w:val="18"/>
              </w:rPr>
            </w:pPr>
            <w:r w:rsidRPr="00D15774">
              <w:rPr>
                <w:color w:val="000000"/>
                <w:sz w:val="18"/>
                <w:szCs w:val="18"/>
              </w:rPr>
              <w:t xml:space="preserve">Montana has </w:t>
            </w:r>
            <w:r w:rsidR="00DF22AC" w:rsidRPr="00D15774">
              <w:rPr>
                <w:color w:val="000000"/>
                <w:sz w:val="18"/>
                <w:szCs w:val="18"/>
              </w:rPr>
              <w:t>permitting and registration</w:t>
            </w:r>
            <w:r w:rsidRPr="00D15774">
              <w:rPr>
                <w:color w:val="000000"/>
                <w:sz w:val="18"/>
                <w:szCs w:val="18"/>
              </w:rPr>
              <w:t xml:space="preserve"> rules for controlling fugitive VOC vapors</w:t>
            </w:r>
          </w:p>
          <w:p w:rsidR="001A4365" w:rsidRPr="00D15774" w:rsidRDefault="001A4365" w:rsidP="001A4365">
            <w:pPr>
              <w:jc w:val="center"/>
              <w:rPr>
                <w:color w:val="000000"/>
                <w:sz w:val="18"/>
                <w:szCs w:val="18"/>
              </w:rPr>
            </w:pPr>
            <w:r w:rsidRPr="00D15774">
              <w:rPr>
                <w:color w:val="000000"/>
                <w:sz w:val="18"/>
                <w:szCs w:val="18"/>
              </w:rPr>
              <w:t>(See Footnote #1)</w:t>
            </w:r>
          </w:p>
        </w:tc>
        <w:tc>
          <w:tcPr>
            <w:tcW w:w="418" w:type="pct"/>
            <w:shd w:val="clear" w:color="auto" w:fill="auto"/>
            <w:vAlign w:val="center"/>
            <w:hideMark/>
          </w:tcPr>
          <w:p w:rsidR="009E74DF" w:rsidRPr="00D15774" w:rsidRDefault="009E74DF" w:rsidP="009E74DF">
            <w:pPr>
              <w:jc w:val="center"/>
              <w:rPr>
                <w:color w:val="000000"/>
                <w:sz w:val="18"/>
                <w:szCs w:val="18"/>
              </w:rPr>
            </w:pPr>
            <w:r w:rsidRPr="00D15774">
              <w:rPr>
                <w:color w:val="000000"/>
                <w:sz w:val="18"/>
                <w:szCs w:val="18"/>
              </w:rPr>
              <w:t>NONE</w:t>
            </w:r>
          </w:p>
        </w:tc>
        <w:tc>
          <w:tcPr>
            <w:tcW w:w="537" w:type="pct"/>
            <w:shd w:val="clear" w:color="auto" w:fill="auto"/>
            <w:vAlign w:val="center"/>
            <w:hideMark/>
          </w:tcPr>
          <w:p w:rsidR="009E74DF" w:rsidRPr="00D15774" w:rsidRDefault="009E74DF" w:rsidP="009E74DF">
            <w:pPr>
              <w:jc w:val="center"/>
              <w:rPr>
                <w:color w:val="000000"/>
                <w:sz w:val="18"/>
                <w:szCs w:val="18"/>
              </w:rPr>
            </w:pPr>
            <w:r w:rsidRPr="00D15774">
              <w:rPr>
                <w:color w:val="000000"/>
                <w:sz w:val="18"/>
                <w:szCs w:val="18"/>
              </w:rPr>
              <w:t>NONE</w:t>
            </w:r>
          </w:p>
        </w:tc>
        <w:tc>
          <w:tcPr>
            <w:tcW w:w="537" w:type="pct"/>
            <w:shd w:val="clear" w:color="auto" w:fill="auto"/>
            <w:vAlign w:val="center"/>
            <w:hideMark/>
          </w:tcPr>
          <w:p w:rsidR="009E74DF" w:rsidRPr="00D15774" w:rsidRDefault="009E74DF" w:rsidP="009E74DF">
            <w:pPr>
              <w:jc w:val="center"/>
              <w:rPr>
                <w:color w:val="000000"/>
                <w:sz w:val="18"/>
                <w:szCs w:val="18"/>
              </w:rPr>
            </w:pPr>
            <w:r w:rsidRPr="00D15774">
              <w:rPr>
                <w:color w:val="000000"/>
                <w:sz w:val="18"/>
                <w:szCs w:val="18"/>
              </w:rPr>
              <w:t>NONE</w:t>
            </w:r>
          </w:p>
        </w:tc>
        <w:tc>
          <w:tcPr>
            <w:tcW w:w="726" w:type="pct"/>
            <w:shd w:val="clear" w:color="auto" w:fill="auto"/>
            <w:vAlign w:val="center"/>
            <w:hideMark/>
          </w:tcPr>
          <w:p w:rsidR="009E74DF" w:rsidRPr="00D15774" w:rsidRDefault="009E74DF" w:rsidP="009E74DF">
            <w:pPr>
              <w:jc w:val="center"/>
              <w:rPr>
                <w:color w:val="000000"/>
                <w:sz w:val="18"/>
                <w:szCs w:val="18"/>
              </w:rPr>
            </w:pPr>
            <w:r w:rsidRPr="00D15774">
              <w:rPr>
                <w:color w:val="000000"/>
                <w:sz w:val="18"/>
                <w:szCs w:val="18"/>
              </w:rPr>
              <w:t>NONE</w:t>
            </w:r>
          </w:p>
        </w:tc>
      </w:tr>
      <w:tr w:rsidR="009E74DF" w:rsidRPr="00D15774" w:rsidTr="00C45751">
        <w:trPr>
          <w:cantSplit/>
          <w:trHeight w:val="2457"/>
        </w:trPr>
        <w:tc>
          <w:tcPr>
            <w:tcW w:w="473" w:type="pct"/>
            <w:shd w:val="clear" w:color="auto" w:fill="auto"/>
            <w:noWrap/>
            <w:vAlign w:val="center"/>
            <w:hideMark/>
          </w:tcPr>
          <w:p w:rsidR="009E74DF" w:rsidRPr="00D15774" w:rsidRDefault="009E74DF" w:rsidP="009E74DF">
            <w:pPr>
              <w:rPr>
                <w:color w:val="000000"/>
                <w:sz w:val="18"/>
                <w:szCs w:val="18"/>
              </w:rPr>
            </w:pPr>
            <w:r w:rsidRPr="00D15774">
              <w:rPr>
                <w:color w:val="000000"/>
                <w:sz w:val="18"/>
                <w:szCs w:val="18"/>
              </w:rPr>
              <w:t>Pneumatic Controllers</w:t>
            </w:r>
          </w:p>
        </w:tc>
        <w:tc>
          <w:tcPr>
            <w:tcW w:w="617" w:type="pct"/>
            <w:shd w:val="clear" w:color="auto" w:fill="auto"/>
            <w:vAlign w:val="center"/>
            <w:hideMark/>
          </w:tcPr>
          <w:p w:rsidR="009E74DF" w:rsidRPr="00D15774" w:rsidRDefault="009E74DF" w:rsidP="00147228">
            <w:pPr>
              <w:rPr>
                <w:color w:val="000000"/>
                <w:sz w:val="18"/>
                <w:szCs w:val="18"/>
              </w:rPr>
            </w:pPr>
            <w:r w:rsidRPr="00D15774">
              <w:rPr>
                <w:b/>
                <w:bCs/>
                <w:color w:val="000000"/>
                <w:sz w:val="18"/>
                <w:szCs w:val="18"/>
                <w:u w:val="single"/>
              </w:rPr>
              <w:t>Subpart OOOO</w:t>
            </w:r>
            <w:r w:rsidRPr="00D15774">
              <w:rPr>
                <w:color w:val="000000"/>
                <w:sz w:val="18"/>
                <w:szCs w:val="18"/>
              </w:rPr>
              <w:t>:   Zero emission limit @ gas processing plants (equivalent to non gas-driven pneumatic controllers)</w:t>
            </w:r>
            <w:r w:rsidR="00147228" w:rsidRPr="00D15774">
              <w:rPr>
                <w:color w:val="000000"/>
                <w:sz w:val="18"/>
                <w:szCs w:val="18"/>
              </w:rPr>
              <w:t>;</w:t>
            </w:r>
            <w:r w:rsidRPr="00D15774">
              <w:rPr>
                <w:color w:val="000000"/>
                <w:sz w:val="18"/>
                <w:szCs w:val="18"/>
              </w:rPr>
              <w:t xml:space="preserve">  Six SCFH @ other locations (equivalent to low bleed gas-driven pneumatic controllers)</w:t>
            </w:r>
          </w:p>
        </w:tc>
        <w:tc>
          <w:tcPr>
            <w:tcW w:w="377" w:type="pct"/>
            <w:shd w:val="clear" w:color="auto" w:fill="auto"/>
            <w:vAlign w:val="center"/>
            <w:hideMark/>
          </w:tcPr>
          <w:p w:rsidR="009E74DF" w:rsidRPr="00D15774" w:rsidRDefault="009E74DF" w:rsidP="009E74DF">
            <w:pPr>
              <w:jc w:val="center"/>
              <w:rPr>
                <w:color w:val="000000"/>
                <w:sz w:val="18"/>
                <w:szCs w:val="18"/>
              </w:rPr>
            </w:pPr>
            <w:r w:rsidRPr="00D15774">
              <w:rPr>
                <w:color w:val="000000"/>
                <w:sz w:val="18"/>
                <w:szCs w:val="18"/>
              </w:rPr>
              <w:t>NONE</w:t>
            </w:r>
          </w:p>
        </w:tc>
        <w:tc>
          <w:tcPr>
            <w:tcW w:w="814" w:type="pct"/>
            <w:shd w:val="clear" w:color="auto" w:fill="auto"/>
            <w:vAlign w:val="center"/>
            <w:hideMark/>
          </w:tcPr>
          <w:p w:rsidR="009E74DF" w:rsidRPr="00D15774" w:rsidRDefault="009E74DF" w:rsidP="00C5232E">
            <w:pPr>
              <w:jc w:val="center"/>
              <w:rPr>
                <w:color w:val="000000"/>
                <w:sz w:val="18"/>
                <w:szCs w:val="18"/>
              </w:rPr>
            </w:pPr>
            <w:r w:rsidRPr="00D15774">
              <w:rPr>
                <w:b/>
                <w:bCs/>
                <w:color w:val="000000"/>
                <w:sz w:val="18"/>
                <w:szCs w:val="18"/>
                <w:u w:val="single"/>
              </w:rPr>
              <w:t>Reg. 7, XVIII.C.1</w:t>
            </w:r>
            <w:r w:rsidRPr="00D15774">
              <w:rPr>
                <w:color w:val="000000"/>
                <w:sz w:val="18"/>
                <w:szCs w:val="18"/>
              </w:rPr>
              <w:br/>
              <w:t xml:space="preserve">No or low-bleed pneumatic </w:t>
            </w:r>
            <w:r w:rsidR="003C0139" w:rsidRPr="00D15774">
              <w:rPr>
                <w:color w:val="000000"/>
                <w:sz w:val="18"/>
                <w:szCs w:val="18"/>
              </w:rPr>
              <w:t>devices</w:t>
            </w:r>
            <w:r w:rsidRPr="00D15774">
              <w:rPr>
                <w:color w:val="000000"/>
                <w:sz w:val="18"/>
                <w:szCs w:val="18"/>
              </w:rPr>
              <w:t xml:space="preserve"> required for all new &amp; existing applications.</w:t>
            </w:r>
            <w:r w:rsidRPr="00D15774">
              <w:rPr>
                <w:color w:val="000000"/>
                <w:sz w:val="18"/>
                <w:szCs w:val="18"/>
              </w:rPr>
              <w:br/>
              <w:t>(exceptions allowed)</w:t>
            </w:r>
            <w:r w:rsidR="00C5232E" w:rsidRPr="00D15774">
              <w:rPr>
                <w:color w:val="000000"/>
                <w:sz w:val="18"/>
                <w:szCs w:val="18"/>
              </w:rPr>
              <w:t xml:space="preserve"> (only applies in ozone non-attainment areas)</w:t>
            </w:r>
          </w:p>
          <w:p w:rsidR="003C0139" w:rsidRPr="00D15774" w:rsidRDefault="003C0139" w:rsidP="00C5232E">
            <w:pPr>
              <w:jc w:val="center"/>
              <w:rPr>
                <w:color w:val="000000"/>
                <w:sz w:val="18"/>
                <w:szCs w:val="18"/>
              </w:rPr>
            </w:pPr>
          </w:p>
          <w:p w:rsidR="003C0139" w:rsidRPr="00D15774" w:rsidRDefault="003C0139" w:rsidP="003C0139">
            <w:pPr>
              <w:rPr>
                <w:bCs/>
                <w:color w:val="000000"/>
                <w:sz w:val="18"/>
                <w:szCs w:val="18"/>
              </w:rPr>
            </w:pPr>
            <w:r w:rsidRPr="00D15774">
              <w:rPr>
                <w:b/>
                <w:bCs/>
                <w:color w:val="000000"/>
                <w:sz w:val="18"/>
                <w:szCs w:val="18"/>
                <w:u w:val="single"/>
              </w:rPr>
              <w:t xml:space="preserve">COGCC HB-07-1341, Section 805.b(2)E </w:t>
            </w:r>
            <w:r w:rsidRPr="00D15774">
              <w:rPr>
                <w:bCs/>
                <w:color w:val="000000"/>
                <w:sz w:val="18"/>
                <w:szCs w:val="18"/>
              </w:rPr>
              <w:t>No or low-bleed required for new, repaired or replaced devices where technically feasible</w:t>
            </w:r>
          </w:p>
        </w:tc>
        <w:tc>
          <w:tcPr>
            <w:tcW w:w="501" w:type="pct"/>
            <w:shd w:val="clear" w:color="auto" w:fill="auto"/>
            <w:vAlign w:val="center"/>
            <w:hideMark/>
          </w:tcPr>
          <w:p w:rsidR="00DF22AC" w:rsidRPr="00D15774" w:rsidRDefault="00DF22AC" w:rsidP="00DF22AC">
            <w:pPr>
              <w:jc w:val="center"/>
              <w:rPr>
                <w:color w:val="000000"/>
                <w:sz w:val="18"/>
                <w:szCs w:val="18"/>
              </w:rPr>
            </w:pPr>
            <w:r w:rsidRPr="00D15774">
              <w:rPr>
                <w:color w:val="000000"/>
                <w:sz w:val="18"/>
                <w:szCs w:val="18"/>
              </w:rPr>
              <w:t>Montana has permitting and registration rules for controlling fugitive VOC vapors</w:t>
            </w:r>
          </w:p>
          <w:p w:rsidR="009E74DF" w:rsidRPr="00D15774" w:rsidRDefault="00DF22AC" w:rsidP="00DF22AC">
            <w:pPr>
              <w:jc w:val="center"/>
              <w:rPr>
                <w:color w:val="000000"/>
                <w:sz w:val="18"/>
                <w:szCs w:val="18"/>
              </w:rPr>
            </w:pPr>
            <w:r w:rsidRPr="00D15774">
              <w:rPr>
                <w:color w:val="000000"/>
                <w:sz w:val="18"/>
                <w:szCs w:val="18"/>
              </w:rPr>
              <w:t>(See Footnote #1)</w:t>
            </w:r>
          </w:p>
        </w:tc>
        <w:tc>
          <w:tcPr>
            <w:tcW w:w="418" w:type="pct"/>
            <w:shd w:val="clear" w:color="auto" w:fill="auto"/>
            <w:vAlign w:val="center"/>
            <w:hideMark/>
          </w:tcPr>
          <w:p w:rsidR="009E74DF" w:rsidRPr="00D15774" w:rsidRDefault="009E74DF" w:rsidP="009E74DF">
            <w:pPr>
              <w:jc w:val="center"/>
              <w:rPr>
                <w:color w:val="000000"/>
                <w:sz w:val="18"/>
                <w:szCs w:val="18"/>
              </w:rPr>
            </w:pPr>
            <w:r w:rsidRPr="00D15774">
              <w:rPr>
                <w:color w:val="000000"/>
                <w:sz w:val="18"/>
                <w:szCs w:val="18"/>
              </w:rPr>
              <w:t>NONE</w:t>
            </w:r>
          </w:p>
        </w:tc>
        <w:tc>
          <w:tcPr>
            <w:tcW w:w="537" w:type="pct"/>
            <w:shd w:val="clear" w:color="auto" w:fill="auto"/>
            <w:vAlign w:val="center"/>
            <w:hideMark/>
          </w:tcPr>
          <w:p w:rsidR="009E74DF" w:rsidRPr="00D15774" w:rsidRDefault="009E74DF" w:rsidP="009E74DF">
            <w:pPr>
              <w:jc w:val="center"/>
              <w:rPr>
                <w:color w:val="000000"/>
                <w:sz w:val="18"/>
                <w:szCs w:val="18"/>
              </w:rPr>
            </w:pPr>
            <w:r w:rsidRPr="00D15774">
              <w:rPr>
                <w:color w:val="000000"/>
                <w:sz w:val="18"/>
                <w:szCs w:val="18"/>
              </w:rPr>
              <w:t>NONE</w:t>
            </w:r>
          </w:p>
        </w:tc>
        <w:tc>
          <w:tcPr>
            <w:tcW w:w="537" w:type="pct"/>
            <w:shd w:val="clear" w:color="auto" w:fill="auto"/>
            <w:vAlign w:val="center"/>
            <w:hideMark/>
          </w:tcPr>
          <w:p w:rsidR="009E74DF" w:rsidRPr="00D15774" w:rsidRDefault="009E74DF" w:rsidP="009E74DF">
            <w:pPr>
              <w:jc w:val="center"/>
              <w:rPr>
                <w:color w:val="000000"/>
                <w:sz w:val="18"/>
                <w:szCs w:val="18"/>
              </w:rPr>
            </w:pPr>
            <w:r w:rsidRPr="00D15774">
              <w:rPr>
                <w:color w:val="000000"/>
                <w:sz w:val="18"/>
                <w:szCs w:val="18"/>
              </w:rPr>
              <w:t>NONE</w:t>
            </w:r>
          </w:p>
        </w:tc>
        <w:tc>
          <w:tcPr>
            <w:tcW w:w="726" w:type="pct"/>
            <w:shd w:val="clear" w:color="auto" w:fill="auto"/>
            <w:vAlign w:val="center"/>
            <w:hideMark/>
          </w:tcPr>
          <w:p w:rsidR="009E74DF" w:rsidRPr="00D15774" w:rsidRDefault="009E74DF" w:rsidP="009E74DF">
            <w:pPr>
              <w:rPr>
                <w:color w:val="000000"/>
                <w:sz w:val="18"/>
                <w:szCs w:val="18"/>
              </w:rPr>
            </w:pPr>
            <w:r w:rsidRPr="00D15774">
              <w:rPr>
                <w:b/>
                <w:bCs/>
                <w:color w:val="000000"/>
                <w:sz w:val="18"/>
                <w:szCs w:val="18"/>
                <w:u w:val="single"/>
              </w:rPr>
              <w:t>C6 S2 O&amp;G Permitting Guidance</w:t>
            </w:r>
            <w:r w:rsidRPr="00D15774">
              <w:rPr>
                <w:color w:val="000000"/>
                <w:sz w:val="18"/>
                <w:szCs w:val="18"/>
              </w:rPr>
              <w:br/>
              <w:t>Install low or no-bleed at all new facilities.  Upon modification of facilities, new pneumatic controllers must be low/no-bleed and existing controllers must be replaced with no/low-bleed. (well site facilities only - not gas plants)</w:t>
            </w:r>
          </w:p>
        </w:tc>
      </w:tr>
      <w:tr w:rsidR="009E74DF" w:rsidRPr="00D15774" w:rsidTr="00C45751">
        <w:trPr>
          <w:cantSplit/>
          <w:trHeight w:val="1692"/>
        </w:trPr>
        <w:tc>
          <w:tcPr>
            <w:tcW w:w="473" w:type="pct"/>
            <w:shd w:val="clear" w:color="auto" w:fill="auto"/>
            <w:noWrap/>
            <w:vAlign w:val="center"/>
            <w:hideMark/>
          </w:tcPr>
          <w:p w:rsidR="009E74DF" w:rsidRPr="00D15774" w:rsidRDefault="009E74DF" w:rsidP="009E74DF">
            <w:pPr>
              <w:rPr>
                <w:color w:val="000000"/>
                <w:sz w:val="18"/>
                <w:szCs w:val="18"/>
              </w:rPr>
            </w:pPr>
            <w:r w:rsidRPr="00D15774">
              <w:rPr>
                <w:color w:val="000000"/>
                <w:sz w:val="18"/>
                <w:szCs w:val="18"/>
              </w:rPr>
              <w:lastRenderedPageBreak/>
              <w:t>Condensate</w:t>
            </w:r>
            <w:r w:rsidR="00CF0570" w:rsidRPr="00D15774">
              <w:rPr>
                <w:color w:val="000000"/>
                <w:sz w:val="18"/>
                <w:szCs w:val="18"/>
              </w:rPr>
              <w:t xml:space="preserve"> &amp; Crude Oil</w:t>
            </w:r>
            <w:r w:rsidRPr="00D15774">
              <w:rPr>
                <w:color w:val="000000"/>
                <w:sz w:val="18"/>
                <w:szCs w:val="18"/>
              </w:rPr>
              <w:t xml:space="preserve"> Tanks</w:t>
            </w:r>
          </w:p>
        </w:tc>
        <w:tc>
          <w:tcPr>
            <w:tcW w:w="617" w:type="pct"/>
            <w:shd w:val="clear" w:color="auto" w:fill="auto"/>
            <w:vAlign w:val="center"/>
            <w:hideMark/>
          </w:tcPr>
          <w:p w:rsidR="00836F06" w:rsidRPr="00D15774" w:rsidRDefault="009E74DF" w:rsidP="00401DAE">
            <w:pPr>
              <w:rPr>
                <w:color w:val="000000"/>
                <w:sz w:val="18"/>
                <w:szCs w:val="18"/>
              </w:rPr>
            </w:pPr>
            <w:r w:rsidRPr="00D15774">
              <w:rPr>
                <w:b/>
                <w:bCs/>
                <w:color w:val="000000"/>
                <w:sz w:val="18"/>
                <w:szCs w:val="18"/>
                <w:u w:val="single"/>
              </w:rPr>
              <w:t>Subpart OOOO</w:t>
            </w:r>
            <w:r w:rsidRPr="00D15774">
              <w:rPr>
                <w:color w:val="000000"/>
                <w:sz w:val="18"/>
                <w:szCs w:val="18"/>
              </w:rPr>
              <w:t xml:space="preserve">:  95% VOC reduction for new or modified storage vessels </w:t>
            </w:r>
            <w:r w:rsidR="00401DAE" w:rsidRPr="00D15774">
              <w:rPr>
                <w:color w:val="000000"/>
                <w:sz w:val="18"/>
                <w:szCs w:val="18"/>
              </w:rPr>
              <w:t>that have PTE</w:t>
            </w:r>
            <w:r w:rsidRPr="00D15774">
              <w:rPr>
                <w:color w:val="000000"/>
                <w:sz w:val="18"/>
                <w:szCs w:val="18"/>
              </w:rPr>
              <w:t xml:space="preserve"> o</w:t>
            </w:r>
            <w:r w:rsidR="00401DAE" w:rsidRPr="00D15774">
              <w:rPr>
                <w:color w:val="000000"/>
                <w:sz w:val="18"/>
                <w:szCs w:val="18"/>
              </w:rPr>
              <w:t>f 6 TPY</w:t>
            </w:r>
            <w:r w:rsidRPr="00D15774">
              <w:rPr>
                <w:color w:val="000000"/>
                <w:sz w:val="18"/>
                <w:szCs w:val="18"/>
              </w:rPr>
              <w:t xml:space="preserve"> </w:t>
            </w:r>
            <w:r w:rsidR="00401DAE" w:rsidRPr="00D15774">
              <w:rPr>
                <w:color w:val="000000"/>
                <w:sz w:val="18"/>
                <w:szCs w:val="18"/>
              </w:rPr>
              <w:t>VOC emission</w:t>
            </w:r>
            <w:r w:rsidR="001F5292" w:rsidRPr="00D15774">
              <w:rPr>
                <w:color w:val="000000"/>
                <w:sz w:val="18"/>
                <w:szCs w:val="18"/>
              </w:rPr>
              <w:t>s. (phased in date for implementation through 2015)</w:t>
            </w:r>
            <w:r w:rsidRPr="00D15774">
              <w:rPr>
                <w:color w:val="000000"/>
                <w:sz w:val="18"/>
                <w:szCs w:val="18"/>
              </w:rPr>
              <w:t>.</w:t>
            </w:r>
          </w:p>
          <w:p w:rsidR="009E74DF" w:rsidRPr="00D15774" w:rsidRDefault="009E74DF" w:rsidP="00401DAE">
            <w:pPr>
              <w:rPr>
                <w:color w:val="000000"/>
                <w:sz w:val="18"/>
                <w:szCs w:val="18"/>
              </w:rPr>
            </w:pPr>
            <w:r w:rsidRPr="00D15774">
              <w:rPr>
                <w:color w:val="000000"/>
                <w:sz w:val="18"/>
                <w:szCs w:val="18"/>
              </w:rPr>
              <w:br/>
            </w:r>
            <w:r w:rsidRPr="00D15774">
              <w:rPr>
                <w:b/>
                <w:bCs/>
                <w:color w:val="000000"/>
                <w:sz w:val="18"/>
                <w:szCs w:val="18"/>
                <w:u w:val="single"/>
              </w:rPr>
              <w:t>Subpart HH</w:t>
            </w:r>
            <w:r w:rsidRPr="00D15774">
              <w:rPr>
                <w:color w:val="000000"/>
                <w:sz w:val="18"/>
                <w:szCs w:val="18"/>
              </w:rPr>
              <w:t>:  95% control of HAP's @ production facilities</w:t>
            </w:r>
          </w:p>
        </w:tc>
        <w:tc>
          <w:tcPr>
            <w:tcW w:w="377" w:type="pct"/>
            <w:shd w:val="clear" w:color="auto" w:fill="auto"/>
            <w:vAlign w:val="center"/>
            <w:hideMark/>
          </w:tcPr>
          <w:p w:rsidR="009E74DF" w:rsidRPr="00D15774" w:rsidRDefault="009E74DF" w:rsidP="009E74DF">
            <w:pPr>
              <w:jc w:val="center"/>
              <w:rPr>
                <w:color w:val="000000"/>
                <w:sz w:val="18"/>
                <w:szCs w:val="18"/>
              </w:rPr>
            </w:pPr>
            <w:r w:rsidRPr="00D15774">
              <w:rPr>
                <w:color w:val="000000"/>
                <w:sz w:val="18"/>
                <w:szCs w:val="18"/>
              </w:rPr>
              <w:t>NONE</w:t>
            </w:r>
          </w:p>
        </w:tc>
        <w:tc>
          <w:tcPr>
            <w:tcW w:w="814" w:type="pct"/>
            <w:shd w:val="clear" w:color="auto" w:fill="auto"/>
            <w:vAlign w:val="center"/>
            <w:hideMark/>
          </w:tcPr>
          <w:p w:rsidR="006855D0" w:rsidRPr="00D15774" w:rsidRDefault="006855D0" w:rsidP="006855D0">
            <w:pPr>
              <w:rPr>
                <w:color w:val="000000"/>
                <w:sz w:val="18"/>
                <w:szCs w:val="18"/>
              </w:rPr>
            </w:pPr>
            <w:r w:rsidRPr="00D15774">
              <w:rPr>
                <w:color w:val="000000"/>
                <w:sz w:val="18"/>
                <w:szCs w:val="18"/>
              </w:rPr>
              <w:t>(</w:t>
            </w:r>
            <w:r w:rsidRPr="00D15774">
              <w:rPr>
                <w:b/>
                <w:bCs/>
                <w:color w:val="000000"/>
                <w:sz w:val="18"/>
                <w:szCs w:val="18"/>
                <w:u w:val="single"/>
              </w:rPr>
              <w:t>Reg. 7, XII.G.2</w:t>
            </w:r>
            <w:r w:rsidRPr="00D15774">
              <w:rPr>
                <w:color w:val="000000"/>
                <w:sz w:val="18"/>
                <w:szCs w:val="18"/>
              </w:rPr>
              <w:t xml:space="preserve">) </w:t>
            </w:r>
            <w:r w:rsidR="009E74DF" w:rsidRPr="00D15774">
              <w:rPr>
                <w:color w:val="000000"/>
                <w:sz w:val="18"/>
                <w:szCs w:val="18"/>
              </w:rPr>
              <w:t xml:space="preserve">95% VOC reduction @ gas processing plants if </w:t>
            </w:r>
            <w:r w:rsidR="00285E1C" w:rsidRPr="00D15774">
              <w:rPr>
                <w:color w:val="000000"/>
                <w:sz w:val="18"/>
                <w:szCs w:val="18"/>
              </w:rPr>
              <w:t xml:space="preserve">uncontrolled emissions from </w:t>
            </w:r>
            <w:r w:rsidR="00257B92" w:rsidRPr="00D15774">
              <w:rPr>
                <w:color w:val="000000"/>
                <w:sz w:val="18"/>
                <w:szCs w:val="18"/>
              </w:rPr>
              <w:t xml:space="preserve">condensate tanks </w:t>
            </w:r>
            <w:r w:rsidR="00285E1C" w:rsidRPr="00D15774">
              <w:rPr>
                <w:color w:val="000000"/>
                <w:sz w:val="18"/>
                <w:szCs w:val="18"/>
              </w:rPr>
              <w:t xml:space="preserve">are </w:t>
            </w:r>
            <w:r w:rsidR="009E74DF" w:rsidRPr="00D15774">
              <w:rPr>
                <w:color w:val="000000"/>
                <w:sz w:val="18"/>
                <w:szCs w:val="18"/>
              </w:rPr>
              <w:t xml:space="preserve">≥ 2 </w:t>
            </w:r>
            <w:r w:rsidR="0059687A" w:rsidRPr="00D15774">
              <w:rPr>
                <w:color w:val="000000"/>
                <w:sz w:val="18"/>
                <w:szCs w:val="18"/>
              </w:rPr>
              <w:t>tpy</w:t>
            </w:r>
            <w:r w:rsidRPr="00D15774">
              <w:rPr>
                <w:color w:val="000000"/>
                <w:sz w:val="18"/>
                <w:szCs w:val="18"/>
              </w:rPr>
              <w:t xml:space="preserve"> (only applies in </w:t>
            </w:r>
            <w:r w:rsidR="00C5232E" w:rsidRPr="00D15774">
              <w:rPr>
                <w:color w:val="000000"/>
                <w:sz w:val="18"/>
                <w:szCs w:val="18"/>
              </w:rPr>
              <w:t xml:space="preserve">ozone </w:t>
            </w:r>
            <w:r w:rsidRPr="00D15774">
              <w:rPr>
                <w:color w:val="000000"/>
                <w:sz w:val="18"/>
                <w:szCs w:val="18"/>
              </w:rPr>
              <w:t>non-attainment areas)</w:t>
            </w:r>
          </w:p>
          <w:p w:rsidR="00D9022D" w:rsidRPr="00D15774" w:rsidRDefault="006855D0" w:rsidP="006855D0">
            <w:pPr>
              <w:rPr>
                <w:color w:val="000000"/>
                <w:sz w:val="18"/>
                <w:szCs w:val="18"/>
              </w:rPr>
            </w:pPr>
            <w:r w:rsidRPr="00D15774">
              <w:rPr>
                <w:color w:val="000000"/>
                <w:sz w:val="18"/>
                <w:szCs w:val="18"/>
              </w:rPr>
              <w:t>(</w:t>
            </w:r>
            <w:r w:rsidRPr="00D15774">
              <w:rPr>
                <w:b/>
                <w:bCs/>
                <w:color w:val="000000"/>
                <w:sz w:val="18"/>
                <w:szCs w:val="18"/>
                <w:u w:val="single"/>
              </w:rPr>
              <w:t xml:space="preserve">Reg. 7, </w:t>
            </w:r>
            <w:r w:rsidR="00257B92" w:rsidRPr="00D15774">
              <w:rPr>
                <w:b/>
                <w:bCs/>
                <w:color w:val="000000"/>
                <w:sz w:val="18"/>
                <w:szCs w:val="18"/>
                <w:u w:val="single"/>
              </w:rPr>
              <w:t>X</w:t>
            </w:r>
            <w:r w:rsidRPr="00D15774">
              <w:rPr>
                <w:b/>
                <w:bCs/>
                <w:color w:val="000000"/>
                <w:sz w:val="18"/>
                <w:szCs w:val="18"/>
                <w:u w:val="single"/>
              </w:rPr>
              <w:t>VII.C.1</w:t>
            </w:r>
            <w:r w:rsidRPr="00D15774">
              <w:rPr>
                <w:color w:val="000000"/>
                <w:sz w:val="18"/>
                <w:szCs w:val="18"/>
              </w:rPr>
              <w:t xml:space="preserve">) </w:t>
            </w:r>
            <w:r w:rsidR="009E74DF" w:rsidRPr="00D15774">
              <w:rPr>
                <w:color w:val="000000"/>
                <w:sz w:val="18"/>
                <w:szCs w:val="18"/>
              </w:rPr>
              <w:t xml:space="preserve"> </w:t>
            </w:r>
            <w:r w:rsidRPr="00D15774">
              <w:rPr>
                <w:color w:val="000000"/>
                <w:sz w:val="18"/>
                <w:szCs w:val="18"/>
              </w:rPr>
              <w:t xml:space="preserve">95% VOC reduction </w:t>
            </w:r>
            <w:r w:rsidR="00BE5E8E" w:rsidRPr="00D15774">
              <w:rPr>
                <w:color w:val="000000"/>
                <w:sz w:val="18"/>
                <w:szCs w:val="18"/>
              </w:rPr>
              <w:t xml:space="preserve">for </w:t>
            </w:r>
            <w:r w:rsidR="00257B92" w:rsidRPr="00D15774">
              <w:rPr>
                <w:color w:val="000000"/>
                <w:sz w:val="18"/>
                <w:szCs w:val="18"/>
              </w:rPr>
              <w:t>condensate</w:t>
            </w:r>
            <w:r w:rsidRPr="00D15774">
              <w:rPr>
                <w:color w:val="000000"/>
                <w:sz w:val="18"/>
                <w:szCs w:val="18"/>
              </w:rPr>
              <w:t xml:space="preserve"> </w:t>
            </w:r>
            <w:r w:rsidR="00285E1C" w:rsidRPr="00D15774">
              <w:rPr>
                <w:color w:val="000000"/>
                <w:sz w:val="18"/>
                <w:szCs w:val="18"/>
              </w:rPr>
              <w:t xml:space="preserve">storage </w:t>
            </w:r>
            <w:r w:rsidRPr="00D15774">
              <w:rPr>
                <w:color w:val="000000"/>
                <w:sz w:val="18"/>
                <w:szCs w:val="18"/>
              </w:rPr>
              <w:t>tanks</w:t>
            </w:r>
            <w:r w:rsidR="009E74DF" w:rsidRPr="00D15774">
              <w:rPr>
                <w:color w:val="000000"/>
                <w:sz w:val="18"/>
                <w:szCs w:val="18"/>
              </w:rPr>
              <w:t xml:space="preserve"> if uncontrolled emissions ≥ 20 </w:t>
            </w:r>
            <w:r w:rsidR="0059687A" w:rsidRPr="00D15774">
              <w:rPr>
                <w:color w:val="000000"/>
                <w:sz w:val="18"/>
                <w:szCs w:val="18"/>
              </w:rPr>
              <w:t>tpy</w:t>
            </w:r>
            <w:r w:rsidR="009E74DF" w:rsidRPr="00D15774">
              <w:rPr>
                <w:color w:val="000000"/>
                <w:sz w:val="18"/>
                <w:szCs w:val="18"/>
              </w:rPr>
              <w:t xml:space="preserve"> </w:t>
            </w:r>
          </w:p>
          <w:p w:rsidR="00C25054" w:rsidRPr="00D15774" w:rsidRDefault="00061972" w:rsidP="006855D0">
            <w:pPr>
              <w:rPr>
                <w:sz w:val="18"/>
                <w:szCs w:val="18"/>
              </w:rPr>
            </w:pPr>
            <w:r w:rsidRPr="00D15774">
              <w:rPr>
                <w:b/>
                <w:sz w:val="18"/>
                <w:szCs w:val="18"/>
                <w:u w:val="single"/>
              </w:rPr>
              <w:t>(Reg.</w:t>
            </w:r>
            <w:r w:rsidR="00C25054" w:rsidRPr="00D15774">
              <w:rPr>
                <w:b/>
                <w:sz w:val="18"/>
                <w:szCs w:val="18"/>
                <w:u w:val="single"/>
              </w:rPr>
              <w:t xml:space="preserve"> 7, XVII.C.2)</w:t>
            </w:r>
            <w:r w:rsidR="00C25054" w:rsidRPr="00D15774">
              <w:rPr>
                <w:sz w:val="18"/>
                <w:szCs w:val="18"/>
              </w:rPr>
              <w:t xml:space="preserve"> For condensate storage tanks with past uncontrolled actual emissions  &lt; 20 </w:t>
            </w:r>
            <w:r w:rsidR="0059687A" w:rsidRPr="00D15774">
              <w:rPr>
                <w:sz w:val="18"/>
                <w:szCs w:val="18"/>
              </w:rPr>
              <w:t>tpy</w:t>
            </w:r>
            <w:r w:rsidR="00C25054" w:rsidRPr="00D15774">
              <w:rPr>
                <w:sz w:val="18"/>
                <w:szCs w:val="18"/>
              </w:rPr>
              <w:t xml:space="preserve"> VOC may become subject </w:t>
            </w:r>
            <w:r w:rsidR="00CF0570" w:rsidRPr="00D15774">
              <w:rPr>
                <w:sz w:val="18"/>
                <w:szCs w:val="18"/>
              </w:rPr>
              <w:t>to Section XVII.C.1</w:t>
            </w:r>
            <w:r w:rsidR="00C25054" w:rsidRPr="00D15774">
              <w:rPr>
                <w:sz w:val="18"/>
                <w:szCs w:val="18"/>
              </w:rPr>
              <w:t xml:space="preserve"> with addition of a newly drilled well (or recompletion/</w:t>
            </w:r>
            <w:r w:rsidR="008C7C0D" w:rsidRPr="00D15774">
              <w:rPr>
                <w:sz w:val="18"/>
                <w:szCs w:val="18"/>
              </w:rPr>
              <w:t xml:space="preserve"> </w:t>
            </w:r>
            <w:r w:rsidR="00C25054" w:rsidRPr="00D15774">
              <w:rPr>
                <w:sz w:val="18"/>
                <w:szCs w:val="18"/>
              </w:rPr>
              <w:t xml:space="preserve">stimulation of an existing well),  Such tanks  have  90 days after 1st production to install/operate  </w:t>
            </w:r>
            <w:r w:rsidR="00BE5E8E" w:rsidRPr="00D15774">
              <w:rPr>
                <w:sz w:val="18"/>
                <w:szCs w:val="18"/>
              </w:rPr>
              <w:t>control equipment.</w:t>
            </w:r>
            <w:r w:rsidR="008C7C0D" w:rsidRPr="00D15774">
              <w:rPr>
                <w:sz w:val="18"/>
                <w:szCs w:val="18"/>
              </w:rPr>
              <w:t xml:space="preserve"> </w:t>
            </w:r>
            <w:r w:rsidR="00BE5E8E" w:rsidRPr="00D15774">
              <w:rPr>
                <w:sz w:val="18"/>
                <w:szCs w:val="18"/>
              </w:rPr>
              <w:t xml:space="preserve"> If</w:t>
            </w:r>
            <w:r w:rsidR="00C25054" w:rsidRPr="00D15774">
              <w:rPr>
                <w:sz w:val="18"/>
                <w:szCs w:val="18"/>
              </w:rPr>
              <w:t xml:space="preserve"> emissions of </w:t>
            </w:r>
            <w:r w:rsidR="00CF0570" w:rsidRPr="00D15774">
              <w:rPr>
                <w:sz w:val="18"/>
                <w:szCs w:val="18"/>
              </w:rPr>
              <w:t xml:space="preserve">VOC still &lt; </w:t>
            </w:r>
            <w:r w:rsidR="00C25054" w:rsidRPr="00D15774">
              <w:rPr>
                <w:sz w:val="18"/>
                <w:szCs w:val="18"/>
              </w:rPr>
              <w:t xml:space="preserve">20 </w:t>
            </w:r>
            <w:r w:rsidR="0059687A" w:rsidRPr="00D15774">
              <w:rPr>
                <w:sz w:val="18"/>
                <w:szCs w:val="18"/>
              </w:rPr>
              <w:t>tpy</w:t>
            </w:r>
            <w:r w:rsidR="00215E10" w:rsidRPr="00D15774">
              <w:rPr>
                <w:sz w:val="18"/>
                <w:szCs w:val="18"/>
              </w:rPr>
              <w:t xml:space="preserve"> CDPHE notification</w:t>
            </w:r>
            <w:r w:rsidR="00CF0570" w:rsidRPr="00D15774">
              <w:rPr>
                <w:sz w:val="18"/>
                <w:szCs w:val="18"/>
              </w:rPr>
              <w:t xml:space="preserve"> </w:t>
            </w:r>
            <w:r w:rsidR="00215E10" w:rsidRPr="00D15774">
              <w:rPr>
                <w:sz w:val="18"/>
                <w:szCs w:val="18"/>
              </w:rPr>
              <w:t>r</w:t>
            </w:r>
            <w:r w:rsidR="00CF0570" w:rsidRPr="00D15774">
              <w:rPr>
                <w:sz w:val="18"/>
                <w:szCs w:val="18"/>
              </w:rPr>
              <w:t>equired w/</w:t>
            </w:r>
            <w:r w:rsidR="00C25054" w:rsidRPr="00D15774">
              <w:rPr>
                <w:sz w:val="18"/>
                <w:szCs w:val="18"/>
              </w:rPr>
              <w:t xml:space="preserve"> explanation of the</w:t>
            </w:r>
            <w:r w:rsidR="00BE5E8E" w:rsidRPr="00D15774">
              <w:rPr>
                <w:sz w:val="18"/>
                <w:szCs w:val="18"/>
              </w:rPr>
              <w:t xml:space="preserve"> determination methodology</w:t>
            </w:r>
            <w:r w:rsidR="00CF0570" w:rsidRPr="00D15774">
              <w:rPr>
                <w:sz w:val="18"/>
                <w:szCs w:val="18"/>
              </w:rPr>
              <w:t>.</w:t>
            </w:r>
          </w:p>
          <w:p w:rsidR="00257B92" w:rsidRPr="00D15774" w:rsidRDefault="00257B92" w:rsidP="006855D0">
            <w:pPr>
              <w:rPr>
                <w:sz w:val="18"/>
                <w:szCs w:val="18"/>
              </w:rPr>
            </w:pPr>
            <w:r w:rsidRPr="00D15774">
              <w:rPr>
                <w:b/>
                <w:sz w:val="18"/>
                <w:szCs w:val="18"/>
                <w:u w:val="single"/>
              </w:rPr>
              <w:t>(Reg.. 7, XIID)</w:t>
            </w:r>
            <w:r w:rsidRPr="00D15774">
              <w:rPr>
                <w:sz w:val="18"/>
                <w:szCs w:val="18"/>
              </w:rPr>
              <w:t xml:space="preserve"> Condensate tanks in ozone non-attainment areas shall be controlled under a system wide approach</w:t>
            </w:r>
          </w:p>
          <w:p w:rsidR="006855D0" w:rsidRPr="00D15774" w:rsidRDefault="006855D0" w:rsidP="006855D0">
            <w:pPr>
              <w:rPr>
                <w:color w:val="000000"/>
                <w:sz w:val="18"/>
                <w:szCs w:val="18"/>
              </w:rPr>
            </w:pPr>
            <w:r w:rsidRPr="00D15774">
              <w:rPr>
                <w:color w:val="000000"/>
                <w:sz w:val="18"/>
                <w:szCs w:val="18"/>
              </w:rPr>
              <w:t>(</w:t>
            </w:r>
            <w:r w:rsidRPr="00D15774">
              <w:rPr>
                <w:b/>
                <w:bCs/>
                <w:color w:val="000000"/>
                <w:sz w:val="18"/>
                <w:szCs w:val="18"/>
                <w:u w:val="single"/>
              </w:rPr>
              <w:t>COGCC HB-07-1341, Section 805.b(2)A</w:t>
            </w:r>
            <w:r w:rsidRPr="00D15774">
              <w:rPr>
                <w:color w:val="000000"/>
                <w:sz w:val="18"/>
                <w:szCs w:val="18"/>
              </w:rPr>
              <w:t xml:space="preserve">) </w:t>
            </w:r>
            <w:r w:rsidR="00257B92" w:rsidRPr="00D15774">
              <w:rPr>
                <w:color w:val="000000"/>
                <w:sz w:val="18"/>
                <w:szCs w:val="18"/>
              </w:rPr>
              <w:t xml:space="preserve">95% VOC reduction </w:t>
            </w:r>
            <w:r w:rsidR="00215E10" w:rsidRPr="00D15774">
              <w:rPr>
                <w:color w:val="000000"/>
                <w:sz w:val="18"/>
                <w:szCs w:val="18"/>
              </w:rPr>
              <w:t>f</w:t>
            </w:r>
            <w:r w:rsidR="00257B92" w:rsidRPr="00D15774">
              <w:rPr>
                <w:color w:val="000000"/>
                <w:sz w:val="18"/>
                <w:szCs w:val="18"/>
              </w:rPr>
              <w:t>or</w:t>
            </w:r>
            <w:r w:rsidR="009E74DF" w:rsidRPr="00D15774">
              <w:rPr>
                <w:color w:val="000000"/>
                <w:sz w:val="18"/>
                <w:szCs w:val="18"/>
              </w:rPr>
              <w:t xml:space="preserve"> </w:t>
            </w:r>
            <w:r w:rsidR="00257B92" w:rsidRPr="00D15774">
              <w:rPr>
                <w:color w:val="000000"/>
                <w:sz w:val="18"/>
                <w:szCs w:val="18"/>
              </w:rPr>
              <w:t xml:space="preserve">liquids condensate &amp; crude oil tanks if uncontrolled </w:t>
            </w:r>
            <w:r w:rsidR="00215E10" w:rsidRPr="00D15774">
              <w:rPr>
                <w:color w:val="000000"/>
                <w:sz w:val="18"/>
                <w:szCs w:val="18"/>
              </w:rPr>
              <w:t xml:space="preserve">emissions ≥ 5 tpy </w:t>
            </w:r>
            <w:r w:rsidRPr="00D15774">
              <w:rPr>
                <w:color w:val="000000"/>
                <w:sz w:val="18"/>
                <w:szCs w:val="18"/>
              </w:rPr>
              <w:t xml:space="preserve">within 1/4 mile of an affected </w:t>
            </w:r>
            <w:r w:rsidR="009E74DF" w:rsidRPr="00D15774">
              <w:rPr>
                <w:color w:val="000000"/>
                <w:sz w:val="18"/>
                <w:szCs w:val="18"/>
              </w:rPr>
              <w:t>building</w:t>
            </w:r>
            <w:r w:rsidR="00D9022D" w:rsidRPr="00D15774">
              <w:rPr>
                <w:color w:val="000000"/>
                <w:sz w:val="18"/>
                <w:szCs w:val="18"/>
              </w:rPr>
              <w:t xml:space="preserve"> (applies only to Garfield, Mesa &amp; Rio Blanco Counties)</w:t>
            </w:r>
          </w:p>
          <w:p w:rsidR="009E74DF" w:rsidRPr="00D15774" w:rsidRDefault="009E74DF" w:rsidP="006855D0">
            <w:pPr>
              <w:rPr>
                <w:color w:val="000000"/>
                <w:sz w:val="18"/>
                <w:szCs w:val="18"/>
              </w:rPr>
            </w:pPr>
            <w:r w:rsidRPr="00D15774">
              <w:rPr>
                <w:color w:val="000000"/>
                <w:sz w:val="18"/>
                <w:szCs w:val="18"/>
              </w:rPr>
              <w:t xml:space="preserve"> </w:t>
            </w:r>
          </w:p>
        </w:tc>
        <w:tc>
          <w:tcPr>
            <w:tcW w:w="501" w:type="pct"/>
            <w:shd w:val="clear" w:color="auto" w:fill="auto"/>
            <w:vAlign w:val="center"/>
            <w:hideMark/>
          </w:tcPr>
          <w:p w:rsidR="00B81F02" w:rsidRPr="00D15774" w:rsidRDefault="00B81F02" w:rsidP="00B81F02">
            <w:pPr>
              <w:rPr>
                <w:color w:val="000000"/>
                <w:sz w:val="18"/>
                <w:szCs w:val="18"/>
              </w:rPr>
            </w:pPr>
            <w:r w:rsidRPr="00D15774">
              <w:rPr>
                <w:b/>
                <w:bCs/>
                <w:color w:val="000000"/>
                <w:sz w:val="18"/>
                <w:szCs w:val="18"/>
                <w:u w:val="single"/>
              </w:rPr>
              <w:t>17.8.1603(1)(b)</w:t>
            </w:r>
            <w:r w:rsidRPr="00D15774">
              <w:rPr>
                <w:color w:val="000000"/>
                <w:sz w:val="18"/>
                <w:szCs w:val="18"/>
              </w:rPr>
              <w:br/>
              <w:t>VOC vapors from O&amp;G oil or condensate storage tanks with a PTE &gt; 15 tpy must be routed to a gas pipeline or emissions minimizing technology.</w:t>
            </w:r>
          </w:p>
          <w:p w:rsidR="00B81F02" w:rsidRPr="00D15774" w:rsidRDefault="00B81F02" w:rsidP="00B81F02">
            <w:pPr>
              <w:jc w:val="center"/>
              <w:rPr>
                <w:color w:val="000000"/>
                <w:sz w:val="18"/>
                <w:szCs w:val="18"/>
              </w:rPr>
            </w:pPr>
          </w:p>
          <w:p w:rsidR="00B81F02" w:rsidRPr="00D15774" w:rsidRDefault="00B81F02" w:rsidP="00B81F02">
            <w:pPr>
              <w:rPr>
                <w:color w:val="000000"/>
                <w:sz w:val="18"/>
                <w:szCs w:val="18"/>
              </w:rPr>
            </w:pPr>
            <w:r w:rsidRPr="00D15774">
              <w:rPr>
                <w:b/>
                <w:color w:val="000000"/>
                <w:sz w:val="18"/>
                <w:szCs w:val="18"/>
                <w:u w:val="single"/>
              </w:rPr>
              <w:t>Registration -17.8.1711 (1)(a)-</w:t>
            </w:r>
            <w:r w:rsidRPr="00D15774">
              <w:rPr>
                <w:color w:val="000000"/>
                <w:sz w:val="18"/>
                <w:szCs w:val="18"/>
              </w:rPr>
              <w:t>VOC vapors from each piece of O&amp;G well facility equipment with PTE &gt;15 tpy, must be captured and routed to a gas pipeline, or routed to air pollution control equipment with a 95% or greater control efficiency</w:t>
            </w:r>
          </w:p>
          <w:p w:rsidR="004A73DC" w:rsidRPr="00D15774" w:rsidRDefault="004A73DC" w:rsidP="00DD63DD">
            <w:pPr>
              <w:jc w:val="center"/>
              <w:rPr>
                <w:color w:val="000000"/>
                <w:sz w:val="18"/>
                <w:szCs w:val="18"/>
              </w:rPr>
            </w:pPr>
          </w:p>
          <w:p w:rsidR="00B81F02" w:rsidRPr="00D15774" w:rsidRDefault="00B81F02" w:rsidP="00B81F02">
            <w:pPr>
              <w:jc w:val="center"/>
              <w:rPr>
                <w:b/>
                <w:color w:val="000000"/>
                <w:sz w:val="18"/>
                <w:szCs w:val="18"/>
                <w:u w:val="single"/>
              </w:rPr>
            </w:pPr>
            <w:r w:rsidRPr="00D15774">
              <w:rPr>
                <w:b/>
                <w:color w:val="000000"/>
                <w:sz w:val="18"/>
                <w:szCs w:val="18"/>
                <w:u w:val="single"/>
              </w:rPr>
              <w:t>17.8.1711(1)(b)</w:t>
            </w:r>
          </w:p>
          <w:p w:rsidR="004A73DC" w:rsidRPr="00D15774" w:rsidRDefault="004A73DC" w:rsidP="00B81F02">
            <w:pPr>
              <w:jc w:val="center"/>
              <w:rPr>
                <w:color w:val="000000"/>
                <w:sz w:val="18"/>
                <w:szCs w:val="18"/>
              </w:rPr>
            </w:pPr>
            <w:r w:rsidRPr="00D15774">
              <w:rPr>
                <w:color w:val="000000"/>
                <w:sz w:val="18"/>
                <w:szCs w:val="18"/>
              </w:rPr>
              <w:t xml:space="preserve">requires </w:t>
            </w:r>
            <w:r w:rsidR="00B81F02" w:rsidRPr="00D15774">
              <w:rPr>
                <w:color w:val="000000"/>
                <w:sz w:val="18"/>
                <w:szCs w:val="18"/>
              </w:rPr>
              <w:t>s</w:t>
            </w:r>
            <w:r w:rsidRPr="00D15774">
              <w:rPr>
                <w:color w:val="000000"/>
                <w:sz w:val="18"/>
                <w:szCs w:val="18"/>
              </w:rPr>
              <w:t>ubmerged filling technology on all hydrocarbon liquid  loading or unloading</w:t>
            </w:r>
          </w:p>
          <w:p w:rsidR="004A73DC" w:rsidRPr="00D15774" w:rsidRDefault="004A73DC" w:rsidP="00DD63DD">
            <w:pPr>
              <w:jc w:val="center"/>
              <w:rPr>
                <w:b/>
                <w:bCs/>
                <w:color w:val="000000"/>
                <w:sz w:val="18"/>
                <w:szCs w:val="18"/>
                <w:u w:val="single"/>
              </w:rPr>
            </w:pPr>
          </w:p>
        </w:tc>
        <w:tc>
          <w:tcPr>
            <w:tcW w:w="418" w:type="pct"/>
            <w:shd w:val="clear" w:color="auto" w:fill="auto"/>
            <w:vAlign w:val="center"/>
            <w:hideMark/>
          </w:tcPr>
          <w:p w:rsidR="009E74DF" w:rsidRPr="00D15774" w:rsidRDefault="009E74DF" w:rsidP="009E74DF">
            <w:pPr>
              <w:jc w:val="center"/>
              <w:rPr>
                <w:color w:val="000000"/>
                <w:sz w:val="18"/>
                <w:szCs w:val="18"/>
              </w:rPr>
            </w:pPr>
            <w:r w:rsidRPr="00D15774">
              <w:rPr>
                <w:color w:val="000000"/>
                <w:sz w:val="18"/>
                <w:szCs w:val="18"/>
              </w:rPr>
              <w:t>NONE</w:t>
            </w:r>
          </w:p>
        </w:tc>
        <w:tc>
          <w:tcPr>
            <w:tcW w:w="537" w:type="pct"/>
            <w:shd w:val="clear" w:color="auto" w:fill="auto"/>
            <w:vAlign w:val="center"/>
            <w:hideMark/>
          </w:tcPr>
          <w:p w:rsidR="009E74DF" w:rsidRPr="00D15774" w:rsidRDefault="009E74DF" w:rsidP="009E74DF">
            <w:pPr>
              <w:jc w:val="center"/>
              <w:rPr>
                <w:color w:val="000000"/>
                <w:sz w:val="18"/>
                <w:szCs w:val="18"/>
              </w:rPr>
            </w:pPr>
            <w:r w:rsidRPr="00D15774">
              <w:rPr>
                <w:b/>
                <w:bCs/>
                <w:color w:val="000000"/>
                <w:sz w:val="18"/>
                <w:szCs w:val="18"/>
                <w:u w:val="single"/>
              </w:rPr>
              <w:t>NDAC Section 33-15-07</w:t>
            </w:r>
            <w:r w:rsidRPr="00D15774">
              <w:rPr>
                <w:b/>
                <w:bCs/>
                <w:color w:val="000000"/>
                <w:sz w:val="18"/>
                <w:szCs w:val="18"/>
                <w:u w:val="single"/>
              </w:rPr>
              <w:br/>
            </w:r>
            <w:r w:rsidRPr="00D15774">
              <w:rPr>
                <w:color w:val="000000"/>
                <w:sz w:val="18"/>
                <w:szCs w:val="18"/>
              </w:rPr>
              <w:t>submerged filling requirements for tanks &gt;1,000 gallons and control of organic compounds</w:t>
            </w:r>
          </w:p>
          <w:p w:rsidR="00595EAA" w:rsidRPr="00D15774" w:rsidRDefault="00595EAA" w:rsidP="009E74DF">
            <w:pPr>
              <w:jc w:val="center"/>
              <w:rPr>
                <w:color w:val="000000"/>
                <w:sz w:val="18"/>
                <w:szCs w:val="18"/>
              </w:rPr>
            </w:pPr>
          </w:p>
          <w:p w:rsidR="00595EAA" w:rsidRPr="00D15774" w:rsidRDefault="00D2123D" w:rsidP="009E74DF">
            <w:pPr>
              <w:jc w:val="center"/>
              <w:rPr>
                <w:sz w:val="18"/>
                <w:szCs w:val="18"/>
                <w:u w:val="single"/>
              </w:rPr>
            </w:pPr>
            <w:r w:rsidRPr="00D15774">
              <w:rPr>
                <w:b/>
                <w:bCs/>
                <w:sz w:val="18"/>
                <w:szCs w:val="18"/>
                <w:u w:val="single"/>
              </w:rPr>
              <w:t>Bakken Pool O&amp;G Production Facilities Air Pollution Control Permitting &amp; Compliance Guidance</w:t>
            </w:r>
          </w:p>
          <w:p w:rsidR="00D2123D" w:rsidRPr="00D15774" w:rsidRDefault="00980E7D" w:rsidP="00980E7D">
            <w:pPr>
              <w:jc w:val="center"/>
              <w:rPr>
                <w:b/>
                <w:bCs/>
                <w:color w:val="000000"/>
                <w:sz w:val="18"/>
                <w:szCs w:val="18"/>
                <w:u w:val="single"/>
              </w:rPr>
            </w:pPr>
            <w:r w:rsidRPr="00D15774">
              <w:rPr>
                <w:color w:val="000000"/>
                <w:sz w:val="18"/>
                <w:szCs w:val="18"/>
              </w:rPr>
              <w:t>t</w:t>
            </w:r>
            <w:r w:rsidR="00D2123D" w:rsidRPr="00D15774">
              <w:rPr>
                <w:color w:val="000000"/>
                <w:sz w:val="18"/>
                <w:szCs w:val="18"/>
              </w:rPr>
              <w:t xml:space="preserve">anks constructed after 6/1/2011 </w:t>
            </w:r>
            <w:r w:rsidRPr="00D15774">
              <w:rPr>
                <w:color w:val="000000"/>
                <w:sz w:val="18"/>
                <w:szCs w:val="18"/>
              </w:rPr>
              <w:t>must control VOC by 98% (90% if PTE &lt; 20 TPY)</w:t>
            </w:r>
          </w:p>
        </w:tc>
        <w:tc>
          <w:tcPr>
            <w:tcW w:w="537" w:type="pct"/>
            <w:shd w:val="clear" w:color="auto" w:fill="auto"/>
            <w:vAlign w:val="center"/>
            <w:hideMark/>
          </w:tcPr>
          <w:p w:rsidR="009E74DF" w:rsidRPr="00D15774" w:rsidRDefault="009E74DF" w:rsidP="009E74DF">
            <w:pPr>
              <w:rPr>
                <w:b/>
                <w:bCs/>
                <w:color w:val="000000"/>
                <w:sz w:val="18"/>
                <w:szCs w:val="18"/>
                <w:u w:val="single"/>
              </w:rPr>
            </w:pPr>
            <w:r w:rsidRPr="00D15774">
              <w:rPr>
                <w:b/>
                <w:bCs/>
                <w:color w:val="000000"/>
                <w:sz w:val="18"/>
                <w:szCs w:val="18"/>
                <w:u w:val="single"/>
              </w:rPr>
              <w:t>R307-327 Ozone Nonattainment Area</w:t>
            </w:r>
            <w:r w:rsidRPr="00D15774">
              <w:rPr>
                <w:color w:val="000000"/>
                <w:sz w:val="18"/>
                <w:szCs w:val="18"/>
              </w:rPr>
              <w:br/>
              <w:t>Volatile Petroleum Liquid Tanks (&gt; 40,000 gallons, true vapor pressure [TVP] &gt; 1.52 psia at storage temperature) shall be controlled to minimize vapor loss.  New tanks shall be fitted with an internal floating roof resting on the liquid surface with the space (roof edge to tank wall) sealed.  Owner/operator shall maintain records of the liquid type/maximum TVP.  Records required of average monthly storage temperature, the liquid type, throughput and maximum TVP for tanks not subject to above (petroleum liquid TVP &gt; 1.0 psia)</w:t>
            </w:r>
          </w:p>
        </w:tc>
        <w:tc>
          <w:tcPr>
            <w:tcW w:w="726" w:type="pct"/>
            <w:shd w:val="clear" w:color="auto" w:fill="auto"/>
            <w:vAlign w:val="center"/>
            <w:hideMark/>
          </w:tcPr>
          <w:p w:rsidR="00823FF0" w:rsidRPr="00D15774" w:rsidRDefault="009E74DF" w:rsidP="00823FF0">
            <w:pPr>
              <w:rPr>
                <w:color w:val="000000"/>
                <w:sz w:val="18"/>
                <w:szCs w:val="18"/>
              </w:rPr>
            </w:pPr>
            <w:r w:rsidRPr="00D15774">
              <w:rPr>
                <w:b/>
                <w:bCs/>
                <w:color w:val="000000"/>
                <w:sz w:val="18"/>
                <w:szCs w:val="18"/>
                <w:u w:val="single"/>
              </w:rPr>
              <w:t>C6 S2 O&amp;G Permitting Guidance</w:t>
            </w:r>
            <w:r w:rsidRPr="00D15774">
              <w:rPr>
                <w:b/>
                <w:bCs/>
                <w:color w:val="000000"/>
                <w:sz w:val="18"/>
                <w:szCs w:val="18"/>
                <w:u w:val="single"/>
              </w:rPr>
              <w:br/>
            </w:r>
            <w:r w:rsidRPr="00D15774">
              <w:rPr>
                <w:color w:val="000000"/>
                <w:sz w:val="18"/>
                <w:szCs w:val="18"/>
              </w:rPr>
              <w:t>Wyoming has 3 area categories; 1) Jonah-Pinedale Anticline Development (JPAD), 2) Concentrated Development Area (CDA) &amp; 3) Statewide</w:t>
            </w:r>
            <w:r w:rsidRPr="00D15774">
              <w:rPr>
                <w:color w:val="000000"/>
                <w:sz w:val="18"/>
                <w:szCs w:val="18"/>
              </w:rPr>
              <w:br/>
            </w:r>
            <w:r w:rsidRPr="00D15774">
              <w:rPr>
                <w:color w:val="000000"/>
                <w:sz w:val="18"/>
                <w:szCs w:val="18"/>
              </w:rPr>
              <w:br/>
            </w:r>
            <w:r w:rsidRPr="00D15774">
              <w:rPr>
                <w:b/>
                <w:bCs/>
                <w:color w:val="000000"/>
                <w:sz w:val="18"/>
                <w:szCs w:val="18"/>
                <w:u w:val="single"/>
              </w:rPr>
              <w:t>JPAD</w:t>
            </w:r>
            <w:r w:rsidRPr="00D15774">
              <w:rPr>
                <w:color w:val="000000"/>
                <w:sz w:val="18"/>
                <w:szCs w:val="18"/>
              </w:rPr>
              <w:t xml:space="preserve"> </w:t>
            </w:r>
            <w:r w:rsidR="00823FF0" w:rsidRPr="00D15774">
              <w:rPr>
                <w:color w:val="000000"/>
                <w:sz w:val="18"/>
                <w:szCs w:val="18"/>
              </w:rPr>
              <w:t xml:space="preserve">- </w:t>
            </w:r>
            <w:r w:rsidRPr="00D15774">
              <w:rPr>
                <w:color w:val="000000"/>
                <w:sz w:val="18"/>
                <w:szCs w:val="18"/>
              </w:rPr>
              <w:t xml:space="preserve">98% control of all new/modified tank emissions </w:t>
            </w:r>
            <w:r w:rsidR="00823FF0" w:rsidRPr="00D15774">
              <w:rPr>
                <w:color w:val="000000"/>
                <w:sz w:val="18"/>
                <w:szCs w:val="18"/>
              </w:rPr>
              <w:t>upon</w:t>
            </w:r>
            <w:r w:rsidR="00650D7E" w:rsidRPr="00D15774">
              <w:rPr>
                <w:color w:val="000000"/>
                <w:sz w:val="18"/>
                <w:szCs w:val="18"/>
              </w:rPr>
              <w:t xml:space="preserve"> startu</w:t>
            </w:r>
            <w:r w:rsidRPr="00D15774">
              <w:rPr>
                <w:color w:val="000000"/>
                <w:sz w:val="18"/>
                <w:szCs w:val="18"/>
              </w:rPr>
              <w:t>p</w:t>
            </w:r>
            <w:r w:rsidR="00823FF0" w:rsidRPr="00D15774">
              <w:rPr>
                <w:color w:val="000000"/>
                <w:sz w:val="18"/>
                <w:szCs w:val="18"/>
              </w:rPr>
              <w:t>/modification</w:t>
            </w:r>
          </w:p>
          <w:p w:rsidR="00823FF0" w:rsidRPr="00D15774" w:rsidRDefault="00823FF0" w:rsidP="00823FF0">
            <w:pPr>
              <w:rPr>
                <w:color w:val="000000"/>
                <w:sz w:val="18"/>
                <w:szCs w:val="18"/>
              </w:rPr>
            </w:pPr>
            <w:r w:rsidRPr="00D15774">
              <w:rPr>
                <w:b/>
                <w:color w:val="000000"/>
                <w:sz w:val="18"/>
                <w:szCs w:val="18"/>
                <w:u w:val="single"/>
              </w:rPr>
              <w:t>CDA</w:t>
            </w:r>
            <w:r w:rsidRPr="00D15774">
              <w:rPr>
                <w:color w:val="000000"/>
                <w:sz w:val="18"/>
                <w:szCs w:val="18"/>
              </w:rPr>
              <w:t xml:space="preserve"> – 98% control of all new/modified tank emissions </w:t>
            </w:r>
            <w:r w:rsidR="00E21C92" w:rsidRPr="00D15774">
              <w:rPr>
                <w:sz w:val="18"/>
                <w:szCs w:val="18"/>
                <w:lang w:val="en-CA"/>
              </w:rPr>
              <w:fldChar w:fldCharType="begin"/>
            </w:r>
            <w:r w:rsidRPr="00D15774">
              <w:rPr>
                <w:sz w:val="18"/>
                <w:szCs w:val="18"/>
                <w:lang w:val="en-CA"/>
              </w:rPr>
              <w:instrText xml:space="preserve"> SEQ CHAPTER \h \r 1</w:instrText>
            </w:r>
            <w:r w:rsidR="00E21C92" w:rsidRPr="00D15774">
              <w:rPr>
                <w:sz w:val="18"/>
                <w:szCs w:val="18"/>
                <w:lang w:val="en-CA"/>
              </w:rPr>
              <w:fldChar w:fldCharType="end"/>
            </w:r>
            <w:r w:rsidRPr="00D15774">
              <w:rPr>
                <w:sz w:val="18"/>
                <w:szCs w:val="18"/>
              </w:rPr>
              <w:t xml:space="preserve">≥ 8 </w:t>
            </w:r>
            <w:r w:rsidR="0059687A" w:rsidRPr="00D15774">
              <w:rPr>
                <w:sz w:val="18"/>
                <w:szCs w:val="18"/>
              </w:rPr>
              <w:t>tpy</w:t>
            </w:r>
            <w:r w:rsidRPr="00D15774">
              <w:rPr>
                <w:sz w:val="18"/>
                <w:szCs w:val="18"/>
              </w:rPr>
              <w:t xml:space="preserve"> VOC within 60 days of startup/modification</w:t>
            </w:r>
          </w:p>
          <w:p w:rsidR="009E74DF" w:rsidRPr="00D15774" w:rsidRDefault="009E74DF" w:rsidP="00823FF0">
            <w:pPr>
              <w:rPr>
                <w:b/>
                <w:bCs/>
                <w:color w:val="000000"/>
                <w:sz w:val="18"/>
                <w:szCs w:val="18"/>
                <w:u w:val="single"/>
              </w:rPr>
            </w:pPr>
            <w:r w:rsidRPr="00D15774">
              <w:rPr>
                <w:b/>
                <w:bCs/>
                <w:color w:val="000000"/>
                <w:sz w:val="18"/>
                <w:szCs w:val="18"/>
                <w:u w:val="single"/>
              </w:rPr>
              <w:t>Statewide</w:t>
            </w:r>
            <w:r w:rsidRPr="00D15774">
              <w:rPr>
                <w:color w:val="000000"/>
                <w:sz w:val="18"/>
                <w:szCs w:val="18"/>
              </w:rPr>
              <w:t xml:space="preserve"> 98% control of all new/modified tank emissions ≥10 </w:t>
            </w:r>
            <w:r w:rsidR="0059687A" w:rsidRPr="00D15774">
              <w:rPr>
                <w:color w:val="000000"/>
                <w:sz w:val="18"/>
                <w:szCs w:val="18"/>
              </w:rPr>
              <w:t>tpy</w:t>
            </w:r>
            <w:r w:rsidRPr="00D15774">
              <w:rPr>
                <w:color w:val="000000"/>
                <w:sz w:val="18"/>
                <w:szCs w:val="18"/>
              </w:rPr>
              <w:t xml:space="preserve"> VOC within 60 days</w:t>
            </w:r>
            <w:r w:rsidR="00823FF0" w:rsidRPr="00D15774">
              <w:rPr>
                <w:color w:val="000000"/>
                <w:sz w:val="18"/>
                <w:szCs w:val="18"/>
              </w:rPr>
              <w:t xml:space="preserve"> of  startup/modification</w:t>
            </w:r>
          </w:p>
        </w:tc>
      </w:tr>
      <w:tr w:rsidR="009E74DF" w:rsidRPr="00D15774" w:rsidTr="00C45751">
        <w:trPr>
          <w:cantSplit/>
          <w:trHeight w:val="2412"/>
        </w:trPr>
        <w:tc>
          <w:tcPr>
            <w:tcW w:w="473" w:type="pct"/>
            <w:shd w:val="clear" w:color="auto" w:fill="auto"/>
            <w:noWrap/>
            <w:vAlign w:val="center"/>
            <w:hideMark/>
          </w:tcPr>
          <w:p w:rsidR="009E74DF" w:rsidRPr="00D15774" w:rsidRDefault="009E74DF" w:rsidP="009E74DF">
            <w:pPr>
              <w:rPr>
                <w:color w:val="000000"/>
                <w:sz w:val="18"/>
                <w:szCs w:val="18"/>
              </w:rPr>
            </w:pPr>
            <w:r w:rsidRPr="00D15774">
              <w:rPr>
                <w:color w:val="000000"/>
                <w:sz w:val="18"/>
                <w:szCs w:val="18"/>
              </w:rPr>
              <w:lastRenderedPageBreak/>
              <w:t>Gas Processing Plants</w:t>
            </w:r>
          </w:p>
        </w:tc>
        <w:tc>
          <w:tcPr>
            <w:tcW w:w="617" w:type="pct"/>
            <w:shd w:val="clear" w:color="auto" w:fill="auto"/>
            <w:vAlign w:val="center"/>
            <w:hideMark/>
          </w:tcPr>
          <w:p w:rsidR="002A6008" w:rsidRPr="00D15774" w:rsidRDefault="009E74DF" w:rsidP="0074445C">
            <w:pPr>
              <w:rPr>
                <w:color w:val="000000"/>
                <w:sz w:val="18"/>
                <w:szCs w:val="18"/>
              </w:rPr>
            </w:pPr>
            <w:r w:rsidRPr="00D15774">
              <w:rPr>
                <w:b/>
                <w:bCs/>
                <w:color w:val="000000"/>
                <w:sz w:val="18"/>
                <w:szCs w:val="18"/>
                <w:u w:val="single"/>
              </w:rPr>
              <w:t>Subpart OOOO</w:t>
            </w:r>
            <w:r w:rsidRPr="00D15774">
              <w:rPr>
                <w:color w:val="000000"/>
                <w:sz w:val="18"/>
                <w:szCs w:val="18"/>
              </w:rPr>
              <w:t xml:space="preserve">:  </w:t>
            </w:r>
            <w:r w:rsidR="0074445C" w:rsidRPr="00D15774">
              <w:rPr>
                <w:color w:val="000000"/>
                <w:sz w:val="18"/>
                <w:szCs w:val="18"/>
              </w:rPr>
              <w:t>Revises LDAR by lowering the leak definition for valves from 10,000 ppm to 500 ppm</w:t>
            </w:r>
            <w:r w:rsidR="0043445C" w:rsidRPr="00D15774">
              <w:rPr>
                <w:color w:val="000000"/>
                <w:sz w:val="18"/>
                <w:szCs w:val="18"/>
              </w:rPr>
              <w:t xml:space="preserve"> VOC</w:t>
            </w:r>
            <w:r w:rsidR="0074445C" w:rsidRPr="00D15774">
              <w:rPr>
                <w:color w:val="000000"/>
                <w:sz w:val="18"/>
                <w:szCs w:val="18"/>
              </w:rPr>
              <w:t>, &amp; requires monitoring of connectors, pumps, pressure relief devices and open-ended valves or lines</w:t>
            </w:r>
          </w:p>
          <w:p w:rsidR="009E74DF" w:rsidRPr="00D15774" w:rsidRDefault="009E74DF" w:rsidP="0074445C">
            <w:pPr>
              <w:rPr>
                <w:color w:val="000000"/>
                <w:sz w:val="18"/>
                <w:szCs w:val="18"/>
              </w:rPr>
            </w:pPr>
            <w:r w:rsidRPr="00D15774">
              <w:rPr>
                <w:color w:val="000000"/>
                <w:sz w:val="18"/>
                <w:szCs w:val="18"/>
              </w:rPr>
              <w:br/>
            </w:r>
            <w:r w:rsidRPr="00D15774">
              <w:rPr>
                <w:b/>
                <w:bCs/>
                <w:color w:val="000000"/>
                <w:sz w:val="18"/>
                <w:szCs w:val="18"/>
                <w:u w:val="single"/>
              </w:rPr>
              <w:t>Subpart HH</w:t>
            </w:r>
            <w:r w:rsidRPr="00D15774">
              <w:rPr>
                <w:color w:val="000000"/>
                <w:sz w:val="18"/>
                <w:szCs w:val="18"/>
              </w:rPr>
              <w:t>: 500 ppm threshold for valve leaks</w:t>
            </w:r>
          </w:p>
        </w:tc>
        <w:tc>
          <w:tcPr>
            <w:tcW w:w="377" w:type="pct"/>
            <w:shd w:val="clear" w:color="auto" w:fill="auto"/>
            <w:vAlign w:val="center"/>
            <w:hideMark/>
          </w:tcPr>
          <w:p w:rsidR="009E74DF" w:rsidRPr="00D15774" w:rsidRDefault="009E74DF" w:rsidP="009E74DF">
            <w:pPr>
              <w:rPr>
                <w:color w:val="000000"/>
                <w:sz w:val="18"/>
                <w:szCs w:val="18"/>
              </w:rPr>
            </w:pPr>
            <w:r w:rsidRPr="00D15774">
              <w:rPr>
                <w:color w:val="000000"/>
                <w:sz w:val="18"/>
                <w:szCs w:val="18"/>
              </w:rPr>
              <w:t>Alaska has adopted NSPS Subpart KKK on LDAR</w:t>
            </w:r>
          </w:p>
        </w:tc>
        <w:tc>
          <w:tcPr>
            <w:tcW w:w="814" w:type="pct"/>
            <w:shd w:val="clear" w:color="auto" w:fill="auto"/>
            <w:vAlign w:val="center"/>
            <w:hideMark/>
          </w:tcPr>
          <w:p w:rsidR="00061972" w:rsidRPr="00D15774" w:rsidRDefault="009E74DF" w:rsidP="00061972">
            <w:pPr>
              <w:rPr>
                <w:bCs/>
                <w:color w:val="000000"/>
                <w:sz w:val="18"/>
                <w:szCs w:val="18"/>
              </w:rPr>
            </w:pPr>
            <w:r w:rsidRPr="00D15774">
              <w:rPr>
                <w:color w:val="000000"/>
                <w:sz w:val="18"/>
                <w:szCs w:val="18"/>
              </w:rPr>
              <w:t>Colorado has adopted NSPS Subpart KKK on LDAR</w:t>
            </w:r>
            <w:r w:rsidR="006E746A" w:rsidRPr="00D15774">
              <w:rPr>
                <w:color w:val="000000"/>
                <w:sz w:val="18"/>
                <w:szCs w:val="18"/>
              </w:rPr>
              <w:t xml:space="preserve"> under</w:t>
            </w:r>
            <w:r w:rsidR="006E746A" w:rsidRPr="00D15774">
              <w:rPr>
                <w:b/>
                <w:bCs/>
                <w:color w:val="000000"/>
                <w:sz w:val="18"/>
                <w:szCs w:val="18"/>
                <w:u w:val="single"/>
              </w:rPr>
              <w:t xml:space="preserve"> Reg. 7, XII.G.1</w:t>
            </w:r>
          </w:p>
          <w:p w:rsidR="009E74DF" w:rsidRPr="00D15774" w:rsidRDefault="00061972" w:rsidP="00061972">
            <w:pPr>
              <w:rPr>
                <w:color w:val="000000"/>
                <w:sz w:val="18"/>
                <w:szCs w:val="18"/>
              </w:rPr>
            </w:pPr>
            <w:r w:rsidRPr="00D15774">
              <w:rPr>
                <w:bCs/>
                <w:color w:val="000000"/>
                <w:sz w:val="18"/>
                <w:szCs w:val="18"/>
              </w:rPr>
              <w:t>(</w:t>
            </w:r>
            <w:r w:rsidR="00285E1C" w:rsidRPr="00D15774">
              <w:rPr>
                <w:bCs/>
                <w:color w:val="000000"/>
                <w:sz w:val="18"/>
                <w:szCs w:val="18"/>
              </w:rPr>
              <w:t xml:space="preserve">KKK </w:t>
            </w:r>
            <w:r w:rsidR="006E746A" w:rsidRPr="00D15774">
              <w:rPr>
                <w:color w:val="000000"/>
                <w:sz w:val="18"/>
                <w:szCs w:val="18"/>
              </w:rPr>
              <w:t xml:space="preserve">applies </w:t>
            </w:r>
            <w:r w:rsidR="00285E1C" w:rsidRPr="00D15774">
              <w:rPr>
                <w:color w:val="000000"/>
                <w:sz w:val="18"/>
                <w:szCs w:val="18"/>
              </w:rPr>
              <w:t xml:space="preserve">at gas processing plants located </w:t>
            </w:r>
            <w:r w:rsidR="006E746A" w:rsidRPr="00D15774">
              <w:rPr>
                <w:color w:val="000000"/>
                <w:sz w:val="18"/>
                <w:szCs w:val="18"/>
              </w:rPr>
              <w:t xml:space="preserve">in </w:t>
            </w:r>
            <w:r w:rsidR="00D9022D" w:rsidRPr="00D15774">
              <w:rPr>
                <w:color w:val="000000"/>
                <w:sz w:val="18"/>
                <w:szCs w:val="18"/>
              </w:rPr>
              <w:t xml:space="preserve">ozone </w:t>
            </w:r>
            <w:r w:rsidR="006E746A" w:rsidRPr="00D15774">
              <w:rPr>
                <w:color w:val="000000"/>
                <w:sz w:val="18"/>
                <w:szCs w:val="18"/>
              </w:rPr>
              <w:t>non-attainment area</w:t>
            </w:r>
            <w:r w:rsidR="00C5232E" w:rsidRPr="00D15774">
              <w:rPr>
                <w:color w:val="000000"/>
                <w:sz w:val="18"/>
                <w:szCs w:val="18"/>
              </w:rPr>
              <w:t>s</w:t>
            </w:r>
            <w:r w:rsidRPr="00D15774">
              <w:rPr>
                <w:color w:val="000000"/>
                <w:sz w:val="18"/>
                <w:szCs w:val="18"/>
              </w:rPr>
              <w:t xml:space="preserve"> regardless of the date of construction of the affected facility</w:t>
            </w:r>
            <w:r w:rsidR="006E746A" w:rsidRPr="00D15774">
              <w:rPr>
                <w:color w:val="000000"/>
                <w:sz w:val="18"/>
                <w:szCs w:val="18"/>
              </w:rPr>
              <w:t>)</w:t>
            </w:r>
          </w:p>
        </w:tc>
        <w:tc>
          <w:tcPr>
            <w:tcW w:w="501" w:type="pct"/>
            <w:shd w:val="clear" w:color="auto" w:fill="auto"/>
            <w:vAlign w:val="center"/>
            <w:hideMark/>
          </w:tcPr>
          <w:p w:rsidR="009E74DF" w:rsidRPr="00D15774" w:rsidRDefault="009E74DF" w:rsidP="009E74DF">
            <w:pPr>
              <w:rPr>
                <w:color w:val="000000"/>
                <w:sz w:val="18"/>
                <w:szCs w:val="18"/>
              </w:rPr>
            </w:pPr>
            <w:r w:rsidRPr="00D15774">
              <w:rPr>
                <w:color w:val="000000"/>
                <w:sz w:val="18"/>
                <w:szCs w:val="18"/>
              </w:rPr>
              <w:t>Montana has adopted NSPS Subpart KKK on LDAR</w:t>
            </w:r>
          </w:p>
        </w:tc>
        <w:tc>
          <w:tcPr>
            <w:tcW w:w="418" w:type="pct"/>
            <w:shd w:val="clear" w:color="auto" w:fill="auto"/>
            <w:vAlign w:val="center"/>
            <w:hideMark/>
          </w:tcPr>
          <w:p w:rsidR="009E74DF" w:rsidRPr="00D15774" w:rsidRDefault="009E74DF" w:rsidP="009E74DF">
            <w:pPr>
              <w:jc w:val="center"/>
              <w:rPr>
                <w:color w:val="000000"/>
                <w:sz w:val="18"/>
                <w:szCs w:val="18"/>
              </w:rPr>
            </w:pPr>
            <w:r w:rsidRPr="00D15774">
              <w:rPr>
                <w:color w:val="000000"/>
                <w:sz w:val="18"/>
                <w:szCs w:val="18"/>
              </w:rPr>
              <w:t>New Mexico has adopted NSPS Subpart KKK on LDAR</w:t>
            </w:r>
          </w:p>
        </w:tc>
        <w:tc>
          <w:tcPr>
            <w:tcW w:w="537" w:type="pct"/>
            <w:shd w:val="clear" w:color="auto" w:fill="auto"/>
            <w:vAlign w:val="center"/>
            <w:hideMark/>
          </w:tcPr>
          <w:p w:rsidR="009E74DF" w:rsidRPr="00D15774" w:rsidRDefault="009E74DF" w:rsidP="009E74DF">
            <w:pPr>
              <w:jc w:val="center"/>
              <w:rPr>
                <w:color w:val="000000"/>
                <w:sz w:val="18"/>
                <w:szCs w:val="18"/>
              </w:rPr>
            </w:pPr>
            <w:r w:rsidRPr="00D15774">
              <w:rPr>
                <w:color w:val="000000"/>
                <w:sz w:val="18"/>
                <w:szCs w:val="18"/>
              </w:rPr>
              <w:t>North Dakota has adopted NSPS Subpart KKK on LDAR</w:t>
            </w:r>
          </w:p>
        </w:tc>
        <w:tc>
          <w:tcPr>
            <w:tcW w:w="537" w:type="pct"/>
            <w:shd w:val="clear" w:color="auto" w:fill="auto"/>
            <w:vAlign w:val="center"/>
            <w:hideMark/>
          </w:tcPr>
          <w:p w:rsidR="009E74DF" w:rsidRPr="00D15774" w:rsidRDefault="009E74DF" w:rsidP="009E74DF">
            <w:pPr>
              <w:jc w:val="center"/>
              <w:rPr>
                <w:color w:val="000000"/>
                <w:sz w:val="18"/>
                <w:szCs w:val="18"/>
              </w:rPr>
            </w:pPr>
            <w:r w:rsidRPr="00D15774">
              <w:rPr>
                <w:color w:val="000000"/>
                <w:sz w:val="18"/>
                <w:szCs w:val="18"/>
              </w:rPr>
              <w:t>Utah has adopted NSPS Subpart KKK on LDAR</w:t>
            </w:r>
          </w:p>
        </w:tc>
        <w:tc>
          <w:tcPr>
            <w:tcW w:w="726" w:type="pct"/>
            <w:shd w:val="clear" w:color="auto" w:fill="auto"/>
            <w:vAlign w:val="center"/>
            <w:hideMark/>
          </w:tcPr>
          <w:p w:rsidR="009E74DF" w:rsidRPr="00D15774" w:rsidRDefault="009E74DF" w:rsidP="009E74DF">
            <w:pPr>
              <w:jc w:val="center"/>
              <w:rPr>
                <w:color w:val="000000"/>
                <w:sz w:val="18"/>
                <w:szCs w:val="18"/>
              </w:rPr>
            </w:pPr>
            <w:r w:rsidRPr="00D15774">
              <w:rPr>
                <w:color w:val="000000"/>
                <w:sz w:val="18"/>
                <w:szCs w:val="18"/>
              </w:rPr>
              <w:t>Wyoming has adopted NSPS Subpart KKK on LDAR</w:t>
            </w:r>
          </w:p>
        </w:tc>
      </w:tr>
      <w:tr w:rsidR="009E74DF" w:rsidRPr="00D15774" w:rsidTr="00C45751">
        <w:trPr>
          <w:cantSplit/>
          <w:trHeight w:val="4158"/>
        </w:trPr>
        <w:tc>
          <w:tcPr>
            <w:tcW w:w="473" w:type="pct"/>
            <w:shd w:val="clear" w:color="auto" w:fill="auto"/>
            <w:noWrap/>
            <w:vAlign w:val="center"/>
            <w:hideMark/>
          </w:tcPr>
          <w:p w:rsidR="009E74DF" w:rsidRPr="00D15774" w:rsidRDefault="00B53349" w:rsidP="009E74DF">
            <w:pPr>
              <w:rPr>
                <w:color w:val="000000"/>
                <w:sz w:val="18"/>
                <w:szCs w:val="18"/>
              </w:rPr>
            </w:pPr>
            <w:r w:rsidRPr="00D15774">
              <w:rPr>
                <w:color w:val="000000"/>
                <w:sz w:val="18"/>
                <w:szCs w:val="18"/>
              </w:rPr>
              <w:t>Glycol D</w:t>
            </w:r>
            <w:r w:rsidR="009E74DF" w:rsidRPr="00D15774">
              <w:rPr>
                <w:color w:val="000000"/>
                <w:sz w:val="18"/>
                <w:szCs w:val="18"/>
              </w:rPr>
              <w:t>ehydrators</w:t>
            </w:r>
          </w:p>
        </w:tc>
        <w:tc>
          <w:tcPr>
            <w:tcW w:w="617" w:type="pct"/>
            <w:shd w:val="clear" w:color="auto" w:fill="auto"/>
            <w:vAlign w:val="center"/>
            <w:hideMark/>
          </w:tcPr>
          <w:p w:rsidR="009E74DF" w:rsidRPr="00D15774" w:rsidRDefault="009E74DF" w:rsidP="00010E98">
            <w:pPr>
              <w:rPr>
                <w:color w:val="000000"/>
                <w:sz w:val="18"/>
                <w:szCs w:val="18"/>
              </w:rPr>
            </w:pPr>
            <w:r w:rsidRPr="00D15774">
              <w:rPr>
                <w:b/>
                <w:bCs/>
                <w:color w:val="000000"/>
                <w:sz w:val="18"/>
                <w:szCs w:val="18"/>
                <w:u w:val="single"/>
              </w:rPr>
              <w:t>Subpart HH</w:t>
            </w:r>
            <w:r w:rsidRPr="00D15774">
              <w:rPr>
                <w:color w:val="000000"/>
                <w:sz w:val="18"/>
                <w:szCs w:val="18"/>
              </w:rPr>
              <w:t xml:space="preserve">:  95% reduction of HAP's in all large glycol dehydrators (&gt; 3 MMCFD or &gt; 1 </w:t>
            </w:r>
            <w:r w:rsidR="0059687A" w:rsidRPr="00D15774">
              <w:rPr>
                <w:color w:val="000000"/>
                <w:sz w:val="18"/>
                <w:szCs w:val="18"/>
              </w:rPr>
              <w:t>tpy</w:t>
            </w:r>
            <w:r w:rsidRPr="00D15774">
              <w:rPr>
                <w:color w:val="000000"/>
                <w:sz w:val="18"/>
                <w:szCs w:val="18"/>
              </w:rPr>
              <w:t xml:space="preserve"> benzene emissions).  Small dehydrator emission limits of 4.66 E-6 grams BTEX/scm-ppmv (new units) or </w:t>
            </w:r>
            <w:r w:rsidR="00010E98" w:rsidRPr="00D15774">
              <w:rPr>
                <w:color w:val="000000"/>
                <w:sz w:val="18"/>
                <w:szCs w:val="18"/>
              </w:rPr>
              <w:t>3.28</w:t>
            </w:r>
            <w:r w:rsidRPr="00D15774">
              <w:rPr>
                <w:color w:val="000000"/>
                <w:sz w:val="18"/>
                <w:szCs w:val="18"/>
              </w:rPr>
              <w:t xml:space="preserve"> E-4 grams BTEX/scm-ppmv (existing units)</w:t>
            </w:r>
          </w:p>
        </w:tc>
        <w:tc>
          <w:tcPr>
            <w:tcW w:w="377" w:type="pct"/>
            <w:shd w:val="clear" w:color="auto" w:fill="auto"/>
            <w:vAlign w:val="center"/>
            <w:hideMark/>
          </w:tcPr>
          <w:p w:rsidR="009E74DF" w:rsidRPr="00D15774" w:rsidRDefault="009E74DF" w:rsidP="009E74DF">
            <w:pPr>
              <w:jc w:val="center"/>
              <w:rPr>
                <w:color w:val="000000"/>
                <w:sz w:val="18"/>
                <w:szCs w:val="18"/>
              </w:rPr>
            </w:pPr>
            <w:r w:rsidRPr="00D15774">
              <w:rPr>
                <w:color w:val="000000"/>
                <w:sz w:val="18"/>
                <w:szCs w:val="18"/>
              </w:rPr>
              <w:t>NONE</w:t>
            </w:r>
          </w:p>
        </w:tc>
        <w:tc>
          <w:tcPr>
            <w:tcW w:w="814" w:type="pct"/>
            <w:shd w:val="clear" w:color="auto" w:fill="auto"/>
            <w:vAlign w:val="center"/>
            <w:hideMark/>
          </w:tcPr>
          <w:p w:rsidR="00A47894" w:rsidRPr="00D15774" w:rsidRDefault="009E74DF" w:rsidP="00A47894">
            <w:pPr>
              <w:rPr>
                <w:color w:val="000000"/>
                <w:sz w:val="18"/>
                <w:szCs w:val="18"/>
              </w:rPr>
            </w:pPr>
            <w:r w:rsidRPr="00D15774">
              <w:rPr>
                <w:b/>
                <w:bCs/>
                <w:color w:val="000000"/>
                <w:sz w:val="18"/>
                <w:szCs w:val="18"/>
                <w:u w:val="single"/>
              </w:rPr>
              <w:t>Reg. 7, XII.H and XVII.D</w:t>
            </w:r>
            <w:r w:rsidRPr="00D15774">
              <w:rPr>
                <w:color w:val="000000"/>
                <w:sz w:val="18"/>
                <w:szCs w:val="18"/>
              </w:rPr>
              <w:br/>
              <w:t xml:space="preserve">90% reduction of VOCs where uncontrolled VOC emissions ≥ 15 </w:t>
            </w:r>
            <w:r w:rsidR="0059687A" w:rsidRPr="00D15774">
              <w:rPr>
                <w:color w:val="000000"/>
                <w:sz w:val="18"/>
                <w:szCs w:val="18"/>
              </w:rPr>
              <w:t>tpy</w:t>
            </w:r>
            <w:r w:rsidR="00C5232E" w:rsidRPr="00D15774">
              <w:rPr>
                <w:color w:val="000000"/>
                <w:sz w:val="18"/>
                <w:szCs w:val="18"/>
              </w:rPr>
              <w:t xml:space="preserve"> </w:t>
            </w:r>
          </w:p>
          <w:p w:rsidR="009E74DF" w:rsidRPr="00D15774" w:rsidRDefault="009E74DF" w:rsidP="00A47894">
            <w:pPr>
              <w:rPr>
                <w:b/>
                <w:bCs/>
                <w:color w:val="000000"/>
                <w:sz w:val="18"/>
                <w:szCs w:val="18"/>
                <w:u w:val="single"/>
              </w:rPr>
            </w:pPr>
            <w:r w:rsidRPr="00D15774">
              <w:rPr>
                <w:color w:val="000000"/>
                <w:sz w:val="18"/>
                <w:szCs w:val="18"/>
              </w:rPr>
              <w:br/>
            </w:r>
            <w:r w:rsidR="006E746A" w:rsidRPr="00D15774">
              <w:rPr>
                <w:b/>
                <w:bCs/>
                <w:color w:val="000000"/>
                <w:sz w:val="18"/>
                <w:szCs w:val="18"/>
                <w:u w:val="single"/>
              </w:rPr>
              <w:t>COGCC HB-07-1341, Section 805.b(2)C</w:t>
            </w:r>
            <w:r w:rsidR="006E746A" w:rsidRPr="00D15774">
              <w:rPr>
                <w:color w:val="000000"/>
                <w:sz w:val="18"/>
                <w:szCs w:val="18"/>
              </w:rPr>
              <w:t xml:space="preserve">) </w:t>
            </w:r>
            <w:r w:rsidR="00A47894" w:rsidRPr="00D15774">
              <w:rPr>
                <w:color w:val="000000"/>
                <w:sz w:val="18"/>
                <w:szCs w:val="18"/>
              </w:rPr>
              <w:t xml:space="preserve">90% reduction of VOCs required where uncontrolled </w:t>
            </w:r>
            <w:r w:rsidR="00285E1C" w:rsidRPr="00D15774">
              <w:rPr>
                <w:color w:val="000000"/>
                <w:sz w:val="18"/>
                <w:szCs w:val="18"/>
              </w:rPr>
              <w:t xml:space="preserve">VOC </w:t>
            </w:r>
            <w:r w:rsidR="00A47894" w:rsidRPr="00D15774">
              <w:rPr>
                <w:color w:val="000000"/>
                <w:sz w:val="18"/>
                <w:szCs w:val="18"/>
              </w:rPr>
              <w:t>emissions</w:t>
            </w:r>
            <w:r w:rsidRPr="00D15774">
              <w:rPr>
                <w:color w:val="000000"/>
                <w:sz w:val="18"/>
                <w:szCs w:val="18"/>
              </w:rPr>
              <w:t xml:space="preserve"> ≥ 5 tpy within 1/4 mile of an affected building </w:t>
            </w:r>
            <w:r w:rsidR="00D9022D" w:rsidRPr="00D15774">
              <w:rPr>
                <w:color w:val="000000"/>
                <w:sz w:val="18"/>
                <w:szCs w:val="18"/>
              </w:rPr>
              <w:t>(applies only to Garfield, Mesa &amp; Rio Blanco Counties)</w:t>
            </w:r>
          </w:p>
        </w:tc>
        <w:tc>
          <w:tcPr>
            <w:tcW w:w="501" w:type="pct"/>
            <w:shd w:val="clear" w:color="auto" w:fill="auto"/>
            <w:vAlign w:val="center"/>
            <w:hideMark/>
          </w:tcPr>
          <w:p w:rsidR="0048254A" w:rsidRPr="00D15774" w:rsidRDefault="0048254A" w:rsidP="0048254A">
            <w:pPr>
              <w:jc w:val="center"/>
              <w:rPr>
                <w:color w:val="000000"/>
                <w:sz w:val="18"/>
                <w:szCs w:val="18"/>
              </w:rPr>
            </w:pPr>
            <w:r w:rsidRPr="00D15774">
              <w:rPr>
                <w:color w:val="000000"/>
                <w:sz w:val="18"/>
                <w:szCs w:val="18"/>
              </w:rPr>
              <w:t>Montana has permitting and registration rules for controlling fugitive VOC vapors</w:t>
            </w:r>
          </w:p>
          <w:p w:rsidR="009E74DF" w:rsidRPr="00D15774" w:rsidRDefault="0048254A" w:rsidP="0048254A">
            <w:pPr>
              <w:jc w:val="center"/>
              <w:rPr>
                <w:color w:val="000000"/>
                <w:sz w:val="18"/>
                <w:szCs w:val="18"/>
              </w:rPr>
            </w:pPr>
            <w:r w:rsidRPr="00D15774">
              <w:rPr>
                <w:color w:val="000000"/>
                <w:sz w:val="18"/>
                <w:szCs w:val="18"/>
              </w:rPr>
              <w:t>(See Footnote #1)</w:t>
            </w:r>
          </w:p>
        </w:tc>
        <w:tc>
          <w:tcPr>
            <w:tcW w:w="418" w:type="pct"/>
            <w:shd w:val="clear" w:color="auto" w:fill="auto"/>
            <w:vAlign w:val="center"/>
            <w:hideMark/>
          </w:tcPr>
          <w:p w:rsidR="009E74DF" w:rsidRPr="00D15774" w:rsidRDefault="009E74DF" w:rsidP="009E74DF">
            <w:pPr>
              <w:jc w:val="center"/>
              <w:rPr>
                <w:color w:val="000000"/>
                <w:sz w:val="18"/>
                <w:szCs w:val="18"/>
              </w:rPr>
            </w:pPr>
            <w:r w:rsidRPr="00D15774">
              <w:rPr>
                <w:color w:val="000000"/>
                <w:sz w:val="18"/>
                <w:szCs w:val="18"/>
              </w:rPr>
              <w:t>NONE</w:t>
            </w:r>
          </w:p>
        </w:tc>
        <w:tc>
          <w:tcPr>
            <w:tcW w:w="537" w:type="pct"/>
            <w:shd w:val="clear" w:color="auto" w:fill="auto"/>
            <w:vAlign w:val="center"/>
            <w:hideMark/>
          </w:tcPr>
          <w:p w:rsidR="009E74DF" w:rsidRPr="00D15774" w:rsidRDefault="009E74DF" w:rsidP="001B754B">
            <w:pPr>
              <w:jc w:val="center"/>
              <w:rPr>
                <w:color w:val="000000"/>
                <w:sz w:val="18"/>
                <w:szCs w:val="18"/>
              </w:rPr>
            </w:pPr>
            <w:r w:rsidRPr="00D15774">
              <w:rPr>
                <w:color w:val="000000"/>
                <w:sz w:val="18"/>
                <w:szCs w:val="18"/>
              </w:rPr>
              <w:t>TEG units with a condens</w:t>
            </w:r>
            <w:r w:rsidR="001B754B" w:rsidRPr="00D15774">
              <w:rPr>
                <w:color w:val="000000"/>
                <w:sz w:val="18"/>
                <w:szCs w:val="18"/>
              </w:rPr>
              <w:t>e</w:t>
            </w:r>
            <w:r w:rsidRPr="00D15774">
              <w:rPr>
                <w:color w:val="000000"/>
                <w:sz w:val="18"/>
                <w:szCs w:val="18"/>
              </w:rPr>
              <w:t>r require temperature monitoring</w:t>
            </w:r>
          </w:p>
          <w:p w:rsidR="00B53349" w:rsidRPr="00D15774" w:rsidRDefault="00B53349" w:rsidP="001B754B">
            <w:pPr>
              <w:jc w:val="center"/>
              <w:rPr>
                <w:color w:val="000000"/>
                <w:sz w:val="18"/>
                <w:szCs w:val="18"/>
              </w:rPr>
            </w:pPr>
          </w:p>
          <w:p w:rsidR="00B53349" w:rsidRPr="00D15774" w:rsidRDefault="00B53349" w:rsidP="00B53349">
            <w:pPr>
              <w:jc w:val="center"/>
              <w:rPr>
                <w:sz w:val="18"/>
                <w:szCs w:val="18"/>
                <w:u w:val="single"/>
              </w:rPr>
            </w:pPr>
            <w:r w:rsidRPr="00D15774">
              <w:rPr>
                <w:b/>
                <w:bCs/>
                <w:sz w:val="18"/>
                <w:szCs w:val="18"/>
                <w:u w:val="single"/>
              </w:rPr>
              <w:t>Bakken Pool O&amp;G Production Facilities Air Pollution Control Permitting &amp; Compliance Guidance</w:t>
            </w:r>
          </w:p>
          <w:p w:rsidR="00B53349" w:rsidRPr="00D15774" w:rsidRDefault="00B53349" w:rsidP="00B53349">
            <w:pPr>
              <w:jc w:val="center"/>
              <w:rPr>
                <w:color w:val="000000"/>
                <w:sz w:val="18"/>
                <w:szCs w:val="18"/>
              </w:rPr>
            </w:pPr>
            <w:r w:rsidRPr="00D15774">
              <w:rPr>
                <w:color w:val="000000"/>
                <w:sz w:val="18"/>
                <w:szCs w:val="18"/>
              </w:rPr>
              <w:t>dehydrators constructed after 6/1/2011 must control VOC by at least 90%</w:t>
            </w:r>
          </w:p>
        </w:tc>
        <w:tc>
          <w:tcPr>
            <w:tcW w:w="537" w:type="pct"/>
            <w:shd w:val="clear" w:color="auto" w:fill="auto"/>
            <w:vAlign w:val="center"/>
            <w:hideMark/>
          </w:tcPr>
          <w:p w:rsidR="009E74DF" w:rsidRPr="00D15774" w:rsidRDefault="009E74DF" w:rsidP="009E74DF">
            <w:pPr>
              <w:jc w:val="center"/>
              <w:rPr>
                <w:color w:val="000000"/>
                <w:sz w:val="18"/>
                <w:szCs w:val="18"/>
              </w:rPr>
            </w:pPr>
            <w:r w:rsidRPr="00D15774">
              <w:rPr>
                <w:color w:val="000000"/>
                <w:sz w:val="18"/>
                <w:szCs w:val="18"/>
              </w:rPr>
              <w:t>NONE</w:t>
            </w:r>
          </w:p>
        </w:tc>
        <w:tc>
          <w:tcPr>
            <w:tcW w:w="726" w:type="pct"/>
            <w:shd w:val="clear" w:color="auto" w:fill="auto"/>
            <w:vAlign w:val="center"/>
            <w:hideMark/>
          </w:tcPr>
          <w:p w:rsidR="00B26507" w:rsidRPr="00D15774" w:rsidRDefault="009E74DF" w:rsidP="009E74DF">
            <w:pPr>
              <w:rPr>
                <w:color w:val="000000"/>
                <w:sz w:val="18"/>
                <w:szCs w:val="18"/>
              </w:rPr>
            </w:pPr>
            <w:r w:rsidRPr="00D15774">
              <w:rPr>
                <w:b/>
                <w:bCs/>
                <w:color w:val="000000"/>
                <w:sz w:val="18"/>
                <w:szCs w:val="18"/>
                <w:u w:val="single"/>
              </w:rPr>
              <w:t>C6 S2 O&amp;G Permitting Guidance</w:t>
            </w:r>
            <w:r w:rsidRPr="00D15774">
              <w:rPr>
                <w:b/>
                <w:bCs/>
                <w:color w:val="000000"/>
                <w:sz w:val="18"/>
                <w:szCs w:val="18"/>
                <w:u w:val="single"/>
              </w:rPr>
              <w:br/>
            </w:r>
            <w:r w:rsidRPr="00D15774">
              <w:rPr>
                <w:color w:val="000000"/>
                <w:sz w:val="18"/>
                <w:szCs w:val="18"/>
              </w:rPr>
              <w:t>Wyoming has 3 area categories; 1) Jonah-Pinedale Anticline Development (JPAD), 2) Concentrated Development Area (CDA) &amp; 3) Statewide</w:t>
            </w:r>
            <w:r w:rsidRPr="00D15774">
              <w:rPr>
                <w:color w:val="000000"/>
                <w:sz w:val="18"/>
                <w:szCs w:val="18"/>
              </w:rPr>
              <w:br/>
            </w:r>
            <w:r w:rsidRPr="00D15774">
              <w:rPr>
                <w:color w:val="000000"/>
                <w:sz w:val="18"/>
                <w:szCs w:val="18"/>
              </w:rPr>
              <w:br/>
            </w:r>
            <w:r w:rsidRPr="00D15774">
              <w:rPr>
                <w:b/>
                <w:bCs/>
                <w:color w:val="000000"/>
                <w:sz w:val="18"/>
                <w:szCs w:val="18"/>
                <w:u w:val="single"/>
              </w:rPr>
              <w:t>JPAD</w:t>
            </w:r>
            <w:r w:rsidRPr="00D15774">
              <w:rPr>
                <w:color w:val="000000"/>
                <w:sz w:val="18"/>
                <w:szCs w:val="18"/>
              </w:rPr>
              <w:t xml:space="preserve"> 98% control of all new/modified dehydrato</w:t>
            </w:r>
            <w:r w:rsidR="00B26507" w:rsidRPr="00D15774">
              <w:rPr>
                <w:color w:val="000000"/>
                <w:sz w:val="18"/>
                <w:szCs w:val="18"/>
              </w:rPr>
              <w:t>r VOC/HAP emissions at start up</w:t>
            </w:r>
          </w:p>
          <w:p w:rsidR="00B26507" w:rsidRPr="00D15774" w:rsidRDefault="009E74DF" w:rsidP="009E74DF">
            <w:pPr>
              <w:rPr>
                <w:b/>
                <w:bCs/>
                <w:color w:val="000000"/>
                <w:sz w:val="18"/>
                <w:szCs w:val="18"/>
                <w:u w:val="single"/>
              </w:rPr>
            </w:pPr>
            <w:r w:rsidRPr="00D15774">
              <w:rPr>
                <w:b/>
                <w:bCs/>
                <w:color w:val="000000"/>
                <w:sz w:val="18"/>
                <w:szCs w:val="18"/>
                <w:u w:val="single"/>
              </w:rPr>
              <w:t>CDA &amp; Statewide</w:t>
            </w:r>
          </w:p>
          <w:p w:rsidR="00B26507" w:rsidRPr="00D15774" w:rsidRDefault="00B26507" w:rsidP="00B26507">
            <w:pPr>
              <w:rPr>
                <w:color w:val="000000"/>
                <w:sz w:val="18"/>
                <w:szCs w:val="18"/>
              </w:rPr>
            </w:pPr>
            <w:r w:rsidRPr="00D15774">
              <w:rPr>
                <w:b/>
                <w:bCs/>
                <w:i/>
                <w:color w:val="000000"/>
                <w:sz w:val="18"/>
                <w:szCs w:val="18"/>
              </w:rPr>
              <w:t>PAD</w:t>
            </w:r>
            <w:r w:rsidR="009E74DF" w:rsidRPr="00D15774">
              <w:rPr>
                <w:b/>
                <w:bCs/>
                <w:i/>
                <w:color w:val="000000"/>
                <w:sz w:val="18"/>
                <w:szCs w:val="18"/>
              </w:rPr>
              <w:t xml:space="preserve"> </w:t>
            </w:r>
            <w:r w:rsidRPr="00D15774">
              <w:rPr>
                <w:b/>
                <w:i/>
                <w:color w:val="000000"/>
                <w:sz w:val="18"/>
                <w:szCs w:val="18"/>
              </w:rPr>
              <w:t>Facilities</w:t>
            </w:r>
            <w:r w:rsidRPr="00D15774">
              <w:rPr>
                <w:color w:val="000000"/>
                <w:sz w:val="18"/>
                <w:szCs w:val="18"/>
              </w:rPr>
              <w:t xml:space="preserve"> - </w:t>
            </w:r>
            <w:r w:rsidR="009E74DF" w:rsidRPr="00D15774">
              <w:rPr>
                <w:color w:val="000000"/>
                <w:sz w:val="18"/>
                <w:szCs w:val="18"/>
              </w:rPr>
              <w:t>98% control</w:t>
            </w:r>
            <w:r w:rsidRPr="00D15774">
              <w:rPr>
                <w:color w:val="000000"/>
                <w:sz w:val="18"/>
                <w:szCs w:val="18"/>
              </w:rPr>
              <w:t xml:space="preserve"> upon</w:t>
            </w:r>
            <w:r w:rsidR="009E74DF" w:rsidRPr="00D15774">
              <w:rPr>
                <w:color w:val="000000"/>
                <w:sz w:val="18"/>
                <w:szCs w:val="18"/>
              </w:rPr>
              <w:t xml:space="preserve"> startup</w:t>
            </w:r>
          </w:p>
          <w:p w:rsidR="00B26507" w:rsidRPr="00D15774" w:rsidRDefault="00B26507" w:rsidP="00B26507">
            <w:pPr>
              <w:rPr>
                <w:color w:val="000000"/>
                <w:sz w:val="18"/>
                <w:szCs w:val="18"/>
              </w:rPr>
            </w:pPr>
            <w:r w:rsidRPr="00D15774">
              <w:rPr>
                <w:b/>
                <w:i/>
                <w:color w:val="000000"/>
                <w:sz w:val="18"/>
                <w:szCs w:val="18"/>
              </w:rPr>
              <w:t>SINGLE Well Facilities</w:t>
            </w:r>
            <w:r w:rsidRPr="00D15774">
              <w:rPr>
                <w:color w:val="000000"/>
                <w:sz w:val="18"/>
                <w:szCs w:val="18"/>
              </w:rPr>
              <w:t xml:space="preserve"> -</w:t>
            </w:r>
          </w:p>
          <w:p w:rsidR="009E74DF" w:rsidRPr="00D15774" w:rsidRDefault="00B26507" w:rsidP="00B26507">
            <w:pPr>
              <w:rPr>
                <w:b/>
                <w:bCs/>
                <w:color w:val="000000"/>
                <w:sz w:val="18"/>
                <w:szCs w:val="18"/>
                <w:u w:val="single"/>
              </w:rPr>
            </w:pPr>
            <w:r w:rsidRPr="00D15774">
              <w:rPr>
                <w:color w:val="000000"/>
                <w:sz w:val="18"/>
                <w:szCs w:val="18"/>
              </w:rPr>
              <w:t>98% control within 60 days of startup</w:t>
            </w:r>
            <w:r w:rsidR="009E74DF" w:rsidRPr="00D15774">
              <w:rPr>
                <w:color w:val="000000"/>
                <w:sz w:val="18"/>
                <w:szCs w:val="18"/>
              </w:rPr>
              <w:t xml:space="preserve"> for</w:t>
            </w:r>
            <w:r w:rsidRPr="00D15774">
              <w:rPr>
                <w:color w:val="000000"/>
                <w:sz w:val="18"/>
                <w:szCs w:val="18"/>
              </w:rPr>
              <w:t xml:space="preserve"> VOC</w:t>
            </w:r>
            <w:r w:rsidR="009E74DF" w:rsidRPr="00D15774">
              <w:rPr>
                <w:color w:val="000000"/>
                <w:sz w:val="18"/>
                <w:szCs w:val="18"/>
              </w:rPr>
              <w:t xml:space="preserve"> emissions ≥6 </w:t>
            </w:r>
            <w:r w:rsidRPr="00D15774">
              <w:rPr>
                <w:b/>
                <w:color w:val="000000"/>
                <w:sz w:val="18"/>
                <w:szCs w:val="18"/>
              </w:rPr>
              <w:t>OR</w:t>
            </w:r>
            <w:r w:rsidR="009E74DF" w:rsidRPr="00D15774">
              <w:rPr>
                <w:color w:val="000000"/>
                <w:sz w:val="18"/>
                <w:szCs w:val="18"/>
              </w:rPr>
              <w:t xml:space="preserve"> </w:t>
            </w:r>
            <w:r w:rsidRPr="00D15774">
              <w:rPr>
                <w:color w:val="000000"/>
                <w:sz w:val="18"/>
                <w:szCs w:val="18"/>
              </w:rPr>
              <w:t>98% control within 30 days of startup for VOC emissions ≥</w:t>
            </w:r>
            <w:r w:rsidR="009E74DF" w:rsidRPr="00D15774">
              <w:rPr>
                <w:color w:val="000000"/>
                <w:sz w:val="18"/>
                <w:szCs w:val="18"/>
              </w:rPr>
              <w:t xml:space="preserve">8 </w:t>
            </w:r>
            <w:r w:rsidR="0059687A" w:rsidRPr="00D15774">
              <w:rPr>
                <w:color w:val="000000"/>
                <w:sz w:val="18"/>
                <w:szCs w:val="18"/>
              </w:rPr>
              <w:t>tpy</w:t>
            </w:r>
          </w:p>
        </w:tc>
      </w:tr>
      <w:tr w:rsidR="009E74DF" w:rsidRPr="00D15774" w:rsidTr="00C45751">
        <w:trPr>
          <w:cantSplit/>
          <w:trHeight w:val="252"/>
        </w:trPr>
        <w:tc>
          <w:tcPr>
            <w:tcW w:w="473" w:type="pct"/>
            <w:shd w:val="clear" w:color="auto" w:fill="auto"/>
            <w:vAlign w:val="center"/>
            <w:hideMark/>
          </w:tcPr>
          <w:p w:rsidR="009E74DF" w:rsidRPr="00D15774" w:rsidRDefault="009E74DF" w:rsidP="009E74DF">
            <w:pPr>
              <w:rPr>
                <w:color w:val="000000"/>
                <w:sz w:val="18"/>
                <w:szCs w:val="18"/>
              </w:rPr>
            </w:pPr>
            <w:r w:rsidRPr="00D15774">
              <w:rPr>
                <w:color w:val="000000"/>
                <w:sz w:val="18"/>
                <w:szCs w:val="18"/>
              </w:rPr>
              <w:lastRenderedPageBreak/>
              <w:t>Minor Source Permitting</w:t>
            </w:r>
          </w:p>
        </w:tc>
        <w:tc>
          <w:tcPr>
            <w:tcW w:w="617" w:type="pct"/>
            <w:shd w:val="clear" w:color="auto" w:fill="auto"/>
            <w:vAlign w:val="center"/>
            <w:hideMark/>
          </w:tcPr>
          <w:p w:rsidR="009E74DF" w:rsidRPr="00D15774" w:rsidRDefault="009E74DF" w:rsidP="009E74DF">
            <w:pPr>
              <w:rPr>
                <w:color w:val="000000"/>
                <w:sz w:val="18"/>
                <w:szCs w:val="18"/>
              </w:rPr>
            </w:pPr>
            <w:r w:rsidRPr="00D15774">
              <w:rPr>
                <w:color w:val="000000"/>
                <w:sz w:val="18"/>
                <w:szCs w:val="18"/>
              </w:rPr>
              <w:t xml:space="preserve">NSR permitting required for minor sources (&lt; NSR thresholds of 100-250 </w:t>
            </w:r>
            <w:r w:rsidR="0059687A" w:rsidRPr="00D15774">
              <w:rPr>
                <w:color w:val="000000"/>
                <w:sz w:val="18"/>
                <w:szCs w:val="18"/>
              </w:rPr>
              <w:t>tpy</w:t>
            </w:r>
            <w:r w:rsidRPr="00D15774">
              <w:rPr>
                <w:color w:val="000000"/>
                <w:sz w:val="18"/>
                <w:szCs w:val="18"/>
              </w:rPr>
              <w:t xml:space="preserve">) </w:t>
            </w:r>
            <w:r w:rsidRPr="00D15774">
              <w:rPr>
                <w:b/>
                <w:color w:val="000000"/>
                <w:sz w:val="18"/>
                <w:szCs w:val="18"/>
              </w:rPr>
              <w:t>in Indian Country</w:t>
            </w:r>
          </w:p>
        </w:tc>
        <w:tc>
          <w:tcPr>
            <w:tcW w:w="377" w:type="pct"/>
            <w:shd w:val="clear" w:color="auto" w:fill="auto"/>
            <w:vAlign w:val="center"/>
            <w:hideMark/>
          </w:tcPr>
          <w:p w:rsidR="009E74DF" w:rsidRPr="00D15774" w:rsidRDefault="009E74DF" w:rsidP="009E74DF">
            <w:pPr>
              <w:jc w:val="center"/>
              <w:rPr>
                <w:color w:val="000000"/>
                <w:sz w:val="18"/>
                <w:szCs w:val="18"/>
              </w:rPr>
            </w:pPr>
            <w:r w:rsidRPr="00D15774">
              <w:rPr>
                <w:color w:val="000000"/>
                <w:sz w:val="18"/>
                <w:szCs w:val="18"/>
              </w:rPr>
              <w:t>NONE</w:t>
            </w:r>
            <w:r w:rsidRPr="00D15774">
              <w:rPr>
                <w:color w:val="000000"/>
                <w:sz w:val="18"/>
                <w:szCs w:val="18"/>
              </w:rPr>
              <w:br/>
              <w:t>(for VOC)</w:t>
            </w:r>
          </w:p>
        </w:tc>
        <w:tc>
          <w:tcPr>
            <w:tcW w:w="814" w:type="pct"/>
            <w:shd w:val="clear" w:color="auto" w:fill="auto"/>
            <w:vAlign w:val="center"/>
            <w:hideMark/>
          </w:tcPr>
          <w:p w:rsidR="009E74DF" w:rsidRPr="00D15774" w:rsidRDefault="00B12F8E" w:rsidP="00C5232E">
            <w:pPr>
              <w:rPr>
                <w:color w:val="000000"/>
                <w:sz w:val="18"/>
                <w:szCs w:val="18"/>
              </w:rPr>
            </w:pPr>
            <w:r w:rsidRPr="00D15774">
              <w:rPr>
                <w:b/>
                <w:bCs/>
                <w:color w:val="000000"/>
                <w:sz w:val="18"/>
                <w:szCs w:val="18"/>
                <w:u w:val="single"/>
              </w:rPr>
              <w:t>Reg. 3 Part B, II.D</w:t>
            </w:r>
            <w:r w:rsidRPr="00D15774">
              <w:rPr>
                <w:bCs/>
                <w:color w:val="000000"/>
                <w:sz w:val="18"/>
                <w:szCs w:val="18"/>
              </w:rPr>
              <w:t xml:space="preserve"> </w:t>
            </w:r>
            <w:r w:rsidR="009E74DF" w:rsidRPr="00D15774">
              <w:rPr>
                <w:color w:val="000000"/>
                <w:sz w:val="18"/>
                <w:szCs w:val="18"/>
              </w:rPr>
              <w:t>Minor Source permitting required for sources with thresholds that vary by po</w:t>
            </w:r>
            <w:r w:rsidRPr="00D15774">
              <w:rPr>
                <w:color w:val="000000"/>
                <w:sz w:val="18"/>
                <w:szCs w:val="18"/>
              </w:rPr>
              <w:t>l</w:t>
            </w:r>
            <w:r w:rsidR="009E74DF" w:rsidRPr="00D15774">
              <w:rPr>
                <w:color w:val="000000"/>
                <w:sz w:val="18"/>
                <w:szCs w:val="18"/>
              </w:rPr>
              <w:t>lutant and area</w:t>
            </w:r>
            <w:r w:rsidRPr="00D15774">
              <w:rPr>
                <w:color w:val="000000"/>
                <w:sz w:val="18"/>
                <w:szCs w:val="18"/>
              </w:rPr>
              <w:t xml:space="preserve"> (</w:t>
            </w:r>
            <w:r w:rsidR="00CC75E6" w:rsidRPr="00D15774">
              <w:rPr>
                <w:color w:val="000000"/>
                <w:sz w:val="18"/>
                <w:szCs w:val="18"/>
              </w:rPr>
              <w:t xml:space="preserve">generally required </w:t>
            </w:r>
            <w:r w:rsidRPr="00D15774">
              <w:rPr>
                <w:color w:val="000000"/>
                <w:sz w:val="18"/>
                <w:szCs w:val="18"/>
              </w:rPr>
              <w:t>in non-attainment areas</w:t>
            </w:r>
            <w:r w:rsidR="00CC75E6" w:rsidRPr="00D15774">
              <w:rPr>
                <w:color w:val="000000"/>
                <w:sz w:val="18"/>
                <w:szCs w:val="18"/>
              </w:rPr>
              <w:t xml:space="preserve"> for criteria emissions &gt; 1-5 </w:t>
            </w:r>
            <w:r w:rsidR="0059687A" w:rsidRPr="00D15774">
              <w:rPr>
                <w:color w:val="000000"/>
                <w:sz w:val="18"/>
                <w:szCs w:val="18"/>
              </w:rPr>
              <w:t>tpy</w:t>
            </w:r>
            <w:r w:rsidR="008C72AB" w:rsidRPr="00D15774">
              <w:rPr>
                <w:sz w:val="18"/>
                <w:szCs w:val="18"/>
              </w:rPr>
              <w:t xml:space="preserve"> – required statewide for criteria emissions &gt; 5-10 </w:t>
            </w:r>
            <w:r w:rsidR="0059687A" w:rsidRPr="00D15774">
              <w:rPr>
                <w:sz w:val="18"/>
                <w:szCs w:val="18"/>
              </w:rPr>
              <w:t>tpy</w:t>
            </w:r>
            <w:r w:rsidR="008C72AB" w:rsidRPr="00D15774">
              <w:rPr>
                <w:sz w:val="18"/>
                <w:szCs w:val="18"/>
              </w:rPr>
              <w:t xml:space="preserve"> – thresholds depend on the pollutant)</w:t>
            </w:r>
          </w:p>
        </w:tc>
        <w:tc>
          <w:tcPr>
            <w:tcW w:w="501" w:type="pct"/>
            <w:shd w:val="clear" w:color="auto" w:fill="auto"/>
            <w:vAlign w:val="center"/>
            <w:hideMark/>
          </w:tcPr>
          <w:p w:rsidR="00016AE2" w:rsidRPr="00D15774" w:rsidRDefault="00016AE2" w:rsidP="00016AE2">
            <w:pPr>
              <w:rPr>
                <w:color w:val="000000"/>
                <w:sz w:val="18"/>
                <w:szCs w:val="18"/>
              </w:rPr>
            </w:pPr>
            <w:r w:rsidRPr="00D15774">
              <w:rPr>
                <w:b/>
                <w:bCs/>
                <w:color w:val="000000"/>
                <w:sz w:val="18"/>
                <w:szCs w:val="18"/>
                <w:u w:val="single"/>
              </w:rPr>
              <w:t>17.8.743 Montana Air Quality Permits (MAQP)</w:t>
            </w:r>
            <w:r w:rsidRPr="00D15774">
              <w:rPr>
                <w:b/>
                <w:bCs/>
                <w:color w:val="000000"/>
                <w:sz w:val="18"/>
                <w:szCs w:val="18"/>
                <w:u w:val="single"/>
              </w:rPr>
              <w:br/>
            </w:r>
            <w:r w:rsidRPr="00D15774">
              <w:rPr>
                <w:color w:val="000000"/>
                <w:sz w:val="18"/>
                <w:szCs w:val="18"/>
              </w:rPr>
              <w:t xml:space="preserve">NSR permitting required for sources with &gt; 25 </w:t>
            </w:r>
            <w:r w:rsidR="0059687A" w:rsidRPr="00D15774">
              <w:rPr>
                <w:color w:val="000000"/>
                <w:sz w:val="18"/>
                <w:szCs w:val="18"/>
              </w:rPr>
              <w:t>tpy</w:t>
            </w:r>
            <w:r w:rsidRPr="00D15774">
              <w:rPr>
                <w:color w:val="000000"/>
                <w:sz w:val="18"/>
                <w:szCs w:val="18"/>
              </w:rPr>
              <w:t xml:space="preserve"> PTE</w:t>
            </w:r>
          </w:p>
          <w:p w:rsidR="00016AE2" w:rsidRPr="00D15774" w:rsidRDefault="00016AE2" w:rsidP="00016AE2">
            <w:pPr>
              <w:rPr>
                <w:color w:val="000000"/>
                <w:sz w:val="18"/>
                <w:szCs w:val="18"/>
              </w:rPr>
            </w:pPr>
          </w:p>
          <w:p w:rsidR="00016AE2" w:rsidRPr="00D15774" w:rsidRDefault="00016AE2" w:rsidP="00016AE2">
            <w:pPr>
              <w:rPr>
                <w:color w:val="000000"/>
                <w:sz w:val="18"/>
                <w:szCs w:val="18"/>
              </w:rPr>
            </w:pPr>
            <w:r w:rsidRPr="00D15774">
              <w:rPr>
                <w:b/>
                <w:color w:val="000000"/>
                <w:sz w:val="18"/>
                <w:szCs w:val="18"/>
                <w:u w:val="single"/>
              </w:rPr>
              <w:t>17.8.1702</w:t>
            </w:r>
            <w:r w:rsidRPr="00D15774">
              <w:rPr>
                <w:color w:val="000000"/>
                <w:sz w:val="18"/>
                <w:szCs w:val="18"/>
              </w:rPr>
              <w:t>:</w:t>
            </w:r>
          </w:p>
          <w:p w:rsidR="009E74DF" w:rsidRPr="00D15774" w:rsidRDefault="00016AE2" w:rsidP="00226103">
            <w:pPr>
              <w:rPr>
                <w:b/>
                <w:bCs/>
                <w:color w:val="000000"/>
                <w:sz w:val="18"/>
                <w:szCs w:val="18"/>
                <w:u w:val="single"/>
              </w:rPr>
            </w:pPr>
            <w:r w:rsidRPr="00D15774">
              <w:rPr>
                <w:color w:val="000000"/>
                <w:sz w:val="18"/>
                <w:szCs w:val="18"/>
              </w:rPr>
              <w:t xml:space="preserve">A registration eligible facility may register in lieu of obtaining a MAQP  </w:t>
            </w:r>
          </w:p>
        </w:tc>
        <w:tc>
          <w:tcPr>
            <w:tcW w:w="418" w:type="pct"/>
            <w:shd w:val="clear" w:color="auto" w:fill="auto"/>
            <w:vAlign w:val="center"/>
            <w:hideMark/>
          </w:tcPr>
          <w:p w:rsidR="009E74DF" w:rsidRPr="00D15774" w:rsidRDefault="009E74DF" w:rsidP="009E74DF">
            <w:pPr>
              <w:jc w:val="center"/>
              <w:rPr>
                <w:color w:val="000000"/>
                <w:sz w:val="18"/>
                <w:szCs w:val="18"/>
              </w:rPr>
            </w:pPr>
            <w:r w:rsidRPr="00D15774">
              <w:rPr>
                <w:b/>
                <w:bCs/>
                <w:color w:val="000000"/>
                <w:sz w:val="18"/>
                <w:szCs w:val="18"/>
                <w:u w:val="single"/>
              </w:rPr>
              <w:t>20.2.72 NMAC</w:t>
            </w:r>
            <w:r w:rsidRPr="00D15774">
              <w:rPr>
                <w:color w:val="000000"/>
                <w:sz w:val="18"/>
                <w:szCs w:val="18"/>
              </w:rPr>
              <w:t xml:space="preserve"> requires permits for all sources &gt;25 tpy of a criteria pollutant. </w:t>
            </w:r>
            <w:r w:rsidRPr="00D15774">
              <w:rPr>
                <w:b/>
                <w:bCs/>
                <w:color w:val="000000"/>
                <w:sz w:val="18"/>
                <w:szCs w:val="18"/>
                <w:u w:val="single"/>
              </w:rPr>
              <w:t>20.2.73 NMAC</w:t>
            </w:r>
            <w:r w:rsidRPr="00D15774">
              <w:rPr>
                <w:color w:val="000000"/>
                <w:sz w:val="18"/>
                <w:szCs w:val="18"/>
              </w:rPr>
              <w:t xml:space="preserve"> requires Notices of Intent for all sources &gt;10 tpy of a criteria pollutant</w:t>
            </w:r>
          </w:p>
        </w:tc>
        <w:tc>
          <w:tcPr>
            <w:tcW w:w="537" w:type="pct"/>
            <w:shd w:val="clear" w:color="auto" w:fill="auto"/>
            <w:vAlign w:val="center"/>
            <w:hideMark/>
          </w:tcPr>
          <w:p w:rsidR="009E74DF" w:rsidRPr="00D15774" w:rsidRDefault="009E74DF" w:rsidP="009E74DF">
            <w:pPr>
              <w:jc w:val="center"/>
              <w:rPr>
                <w:color w:val="000000"/>
                <w:sz w:val="18"/>
                <w:szCs w:val="18"/>
              </w:rPr>
            </w:pPr>
            <w:r w:rsidRPr="00D15774">
              <w:rPr>
                <w:color w:val="000000"/>
                <w:sz w:val="18"/>
                <w:szCs w:val="18"/>
              </w:rPr>
              <w:t>NONE</w:t>
            </w:r>
          </w:p>
          <w:p w:rsidR="000B02FA" w:rsidRPr="00D15774" w:rsidRDefault="000B02FA" w:rsidP="009E74DF">
            <w:pPr>
              <w:jc w:val="center"/>
              <w:rPr>
                <w:color w:val="000000"/>
                <w:sz w:val="18"/>
                <w:szCs w:val="18"/>
              </w:rPr>
            </w:pPr>
          </w:p>
          <w:p w:rsidR="00E773C1" w:rsidRPr="00D15774" w:rsidRDefault="000B02FA" w:rsidP="009E74DF">
            <w:pPr>
              <w:jc w:val="center"/>
              <w:rPr>
                <w:color w:val="000000"/>
                <w:sz w:val="18"/>
                <w:szCs w:val="18"/>
              </w:rPr>
            </w:pPr>
            <w:r w:rsidRPr="00D15774">
              <w:rPr>
                <w:color w:val="000000"/>
                <w:sz w:val="18"/>
                <w:szCs w:val="18"/>
              </w:rPr>
              <w:t>(registration of O&amp;G facilities required per Chapter 33-15-20 rules in lieu of a permit)</w:t>
            </w:r>
          </w:p>
        </w:tc>
        <w:tc>
          <w:tcPr>
            <w:tcW w:w="537" w:type="pct"/>
            <w:shd w:val="clear" w:color="auto" w:fill="auto"/>
            <w:vAlign w:val="center"/>
            <w:hideMark/>
          </w:tcPr>
          <w:p w:rsidR="009E74DF" w:rsidRPr="00D15774" w:rsidRDefault="009E74DF" w:rsidP="009E74DF">
            <w:pPr>
              <w:rPr>
                <w:b/>
                <w:bCs/>
                <w:color w:val="000000"/>
                <w:sz w:val="18"/>
                <w:szCs w:val="18"/>
                <w:u w:val="single"/>
              </w:rPr>
            </w:pPr>
            <w:r w:rsidRPr="00D15774">
              <w:rPr>
                <w:b/>
                <w:bCs/>
                <w:color w:val="000000"/>
                <w:sz w:val="18"/>
                <w:szCs w:val="18"/>
                <w:u w:val="single"/>
              </w:rPr>
              <w:t>UAC Rule 307-401-9</w:t>
            </w:r>
            <w:r w:rsidRPr="00D15774">
              <w:rPr>
                <w:color w:val="000000"/>
                <w:sz w:val="18"/>
                <w:szCs w:val="18"/>
              </w:rPr>
              <w:br/>
              <w:t>NSR permitting exempted for sources with controlled emissions below de</w:t>
            </w:r>
            <w:r w:rsidR="001B754B" w:rsidRPr="00D15774">
              <w:rPr>
                <w:color w:val="000000"/>
                <w:sz w:val="18"/>
                <w:szCs w:val="18"/>
              </w:rPr>
              <w:t xml:space="preserve"> </w:t>
            </w:r>
            <w:r w:rsidRPr="00D15774">
              <w:rPr>
                <w:color w:val="000000"/>
                <w:sz w:val="18"/>
                <w:szCs w:val="18"/>
              </w:rPr>
              <w:t>minimis levels: PTE&lt; 5 tpy each PM10, NOx, SOx, CO, VOCs, or single HAP &lt; 500 lbs per year, combined HAP &lt; 1 tpy</w:t>
            </w:r>
          </w:p>
        </w:tc>
        <w:tc>
          <w:tcPr>
            <w:tcW w:w="726" w:type="pct"/>
            <w:shd w:val="clear" w:color="auto" w:fill="auto"/>
            <w:vAlign w:val="center"/>
            <w:hideMark/>
          </w:tcPr>
          <w:p w:rsidR="009E74DF" w:rsidRPr="00D15774" w:rsidRDefault="009E74DF" w:rsidP="00471F9F">
            <w:pPr>
              <w:rPr>
                <w:color w:val="000000"/>
                <w:sz w:val="18"/>
                <w:szCs w:val="18"/>
              </w:rPr>
            </w:pPr>
            <w:r w:rsidRPr="00D15774">
              <w:rPr>
                <w:color w:val="000000"/>
                <w:sz w:val="18"/>
                <w:szCs w:val="18"/>
              </w:rPr>
              <w:t xml:space="preserve">Emissions from minor sources must be approved through permitting applied through the WAQSR </w:t>
            </w:r>
            <w:r w:rsidRPr="00D15774">
              <w:rPr>
                <w:b/>
                <w:bCs/>
                <w:color w:val="000000"/>
                <w:sz w:val="18"/>
                <w:szCs w:val="18"/>
              </w:rPr>
              <w:t>Chapter 6 Section 2(a)(i) O&amp;G Permitting Guidance</w:t>
            </w:r>
            <w:r w:rsidRPr="00D15774">
              <w:rPr>
                <w:color w:val="000000"/>
                <w:sz w:val="18"/>
                <w:szCs w:val="18"/>
              </w:rPr>
              <w:t xml:space="preserve">.  For VOC emissions ≥8 </w:t>
            </w:r>
            <w:r w:rsidR="0059687A" w:rsidRPr="00D15774">
              <w:rPr>
                <w:color w:val="000000"/>
                <w:sz w:val="18"/>
                <w:szCs w:val="18"/>
              </w:rPr>
              <w:t>tpy</w:t>
            </w:r>
            <w:r w:rsidR="00471F9F" w:rsidRPr="00D15774">
              <w:rPr>
                <w:color w:val="000000"/>
                <w:sz w:val="18"/>
                <w:szCs w:val="18"/>
              </w:rPr>
              <w:t xml:space="preserve"> from sources other than tanks, dehydrators, pneumatic controllers and pumps, water tanks,</w:t>
            </w:r>
            <w:r w:rsidRPr="00D15774">
              <w:rPr>
                <w:color w:val="000000"/>
                <w:sz w:val="18"/>
                <w:szCs w:val="18"/>
              </w:rPr>
              <w:t xml:space="preserve"> BACT is considered on case-by-case basis.</w:t>
            </w:r>
          </w:p>
        </w:tc>
      </w:tr>
    </w:tbl>
    <w:p w:rsidR="00042617" w:rsidRPr="00D15774" w:rsidRDefault="00042617">
      <w:pPr>
        <w:widowControl w:val="0"/>
        <w:spacing w:line="300" w:lineRule="auto"/>
      </w:pPr>
    </w:p>
    <w:p w:rsidR="00DD63DD" w:rsidRPr="00D15774" w:rsidRDefault="001A4365" w:rsidP="00DD63DD">
      <w:pPr>
        <w:rPr>
          <w:b/>
          <w:bCs/>
          <w:color w:val="000000"/>
          <w:szCs w:val="24"/>
          <w:u w:val="single"/>
        </w:rPr>
      </w:pPr>
      <w:r w:rsidRPr="00D15774">
        <w:rPr>
          <w:b/>
          <w:bCs/>
          <w:color w:val="000000"/>
          <w:szCs w:val="24"/>
          <w:u w:val="single"/>
        </w:rPr>
        <w:t>Footnote #1</w:t>
      </w:r>
      <w:r w:rsidR="008B0F46" w:rsidRPr="00D15774">
        <w:rPr>
          <w:b/>
          <w:bCs/>
          <w:color w:val="000000"/>
          <w:szCs w:val="24"/>
          <w:u w:val="single"/>
        </w:rPr>
        <w:t>:</w:t>
      </w:r>
      <w:r w:rsidR="00D52A77" w:rsidRPr="00D15774">
        <w:rPr>
          <w:b/>
          <w:bCs/>
          <w:color w:val="000000"/>
          <w:szCs w:val="24"/>
          <w:u w:val="single"/>
        </w:rPr>
        <w:t xml:space="preserve">  </w:t>
      </w:r>
      <w:r w:rsidR="00DD63DD" w:rsidRPr="00D15774">
        <w:rPr>
          <w:b/>
          <w:bCs/>
          <w:color w:val="000000"/>
          <w:szCs w:val="24"/>
          <w:u w:val="single"/>
        </w:rPr>
        <w:t>Montana VOC Rules</w:t>
      </w:r>
    </w:p>
    <w:p w:rsidR="00DD63DD" w:rsidRPr="00D15774" w:rsidRDefault="00DD63DD" w:rsidP="00DD63DD">
      <w:pPr>
        <w:rPr>
          <w:b/>
          <w:bCs/>
          <w:color w:val="000000"/>
          <w:szCs w:val="24"/>
          <w:u w:val="single"/>
        </w:rPr>
      </w:pPr>
    </w:p>
    <w:p w:rsidR="00DD63DD" w:rsidRPr="00D15774" w:rsidRDefault="00DD63DD" w:rsidP="00DD63DD">
      <w:pPr>
        <w:rPr>
          <w:color w:val="000000"/>
          <w:szCs w:val="24"/>
        </w:rPr>
      </w:pPr>
      <w:r w:rsidRPr="00D15774">
        <w:rPr>
          <w:b/>
          <w:bCs/>
          <w:color w:val="000000"/>
          <w:szCs w:val="24"/>
          <w:u w:val="single"/>
        </w:rPr>
        <w:t>17.8.160</w:t>
      </w:r>
      <w:r w:rsidR="0048254A" w:rsidRPr="00D15774">
        <w:rPr>
          <w:b/>
          <w:bCs/>
          <w:color w:val="000000"/>
          <w:szCs w:val="24"/>
          <w:u w:val="single"/>
        </w:rPr>
        <w:t>3(1)(a)</w:t>
      </w:r>
      <w:r w:rsidRPr="00D15774">
        <w:rPr>
          <w:bCs/>
          <w:color w:val="000000"/>
          <w:szCs w:val="24"/>
        </w:rPr>
        <w:t xml:space="preserve"> </w:t>
      </w:r>
      <w:r w:rsidRPr="00D15774">
        <w:rPr>
          <w:color w:val="000000"/>
          <w:szCs w:val="24"/>
        </w:rPr>
        <w:t xml:space="preserve">VOC vapors (&gt; 500 BTU/scf) from O&amp;G wellhead equipment must be captured and routed to a gas pipeline </w:t>
      </w:r>
      <w:r w:rsidR="0048254A" w:rsidRPr="00D15774">
        <w:rPr>
          <w:color w:val="000000"/>
          <w:szCs w:val="24"/>
        </w:rPr>
        <w:t xml:space="preserve">if within ½ mile, </w:t>
      </w:r>
      <w:r w:rsidRPr="00D15774">
        <w:rPr>
          <w:color w:val="000000"/>
          <w:szCs w:val="24"/>
        </w:rPr>
        <w:t>or</w:t>
      </w:r>
      <w:r w:rsidR="0048254A" w:rsidRPr="00D15774">
        <w:rPr>
          <w:color w:val="000000"/>
          <w:szCs w:val="24"/>
        </w:rPr>
        <w:t xml:space="preserve"> to </w:t>
      </w:r>
      <w:r w:rsidRPr="00D15774">
        <w:rPr>
          <w:color w:val="000000"/>
          <w:szCs w:val="24"/>
        </w:rPr>
        <w:t xml:space="preserve"> emissions minimizing technology</w:t>
      </w:r>
      <w:r w:rsidR="0048254A" w:rsidRPr="00D15774">
        <w:rPr>
          <w:color w:val="000000"/>
          <w:szCs w:val="24"/>
        </w:rPr>
        <w:t xml:space="preserve"> or smokeless combustion device equipped with an electronic ignition device or continuous burning pilot system</w:t>
      </w:r>
      <w:r w:rsidRPr="00D15774">
        <w:rPr>
          <w:color w:val="000000"/>
          <w:szCs w:val="24"/>
        </w:rPr>
        <w:t>.</w:t>
      </w:r>
    </w:p>
    <w:p w:rsidR="00DD63DD" w:rsidRPr="00D15774" w:rsidRDefault="00DD63DD" w:rsidP="00DD63DD">
      <w:pPr>
        <w:rPr>
          <w:color w:val="000000"/>
          <w:szCs w:val="24"/>
        </w:rPr>
      </w:pPr>
    </w:p>
    <w:p w:rsidR="00DD63DD" w:rsidRPr="00D15774" w:rsidRDefault="00DD63DD" w:rsidP="00DD63DD">
      <w:pPr>
        <w:rPr>
          <w:color w:val="000000"/>
          <w:szCs w:val="24"/>
        </w:rPr>
      </w:pPr>
      <w:r w:rsidRPr="00D15774">
        <w:rPr>
          <w:b/>
          <w:color w:val="000000"/>
          <w:szCs w:val="24"/>
          <w:u w:val="single"/>
        </w:rPr>
        <w:t>Montana Air Quality Permits (MAQP) –</w:t>
      </w:r>
      <w:r w:rsidR="002A3716" w:rsidRPr="00D15774">
        <w:rPr>
          <w:b/>
          <w:color w:val="000000"/>
          <w:szCs w:val="24"/>
          <w:u w:val="single"/>
        </w:rPr>
        <w:t xml:space="preserve"> </w:t>
      </w:r>
      <w:r w:rsidRPr="00D15774">
        <w:rPr>
          <w:b/>
          <w:color w:val="000000"/>
          <w:szCs w:val="24"/>
          <w:u w:val="single"/>
        </w:rPr>
        <w:t>17.8.752</w:t>
      </w:r>
      <w:r w:rsidRPr="00D15774">
        <w:rPr>
          <w:color w:val="000000"/>
          <w:szCs w:val="24"/>
          <w:u w:val="single"/>
        </w:rPr>
        <w:t xml:space="preserve">   </w:t>
      </w:r>
      <w:r w:rsidRPr="00D15774">
        <w:rPr>
          <w:color w:val="000000"/>
          <w:szCs w:val="24"/>
        </w:rPr>
        <w:t>- requires a case by case BACT determination</w:t>
      </w:r>
    </w:p>
    <w:p w:rsidR="00DD63DD" w:rsidRPr="00D15774" w:rsidRDefault="00DD63DD" w:rsidP="00DD63DD">
      <w:pPr>
        <w:rPr>
          <w:color w:val="000000"/>
          <w:szCs w:val="24"/>
        </w:rPr>
      </w:pPr>
    </w:p>
    <w:p w:rsidR="0098168C" w:rsidRPr="00D15774" w:rsidRDefault="0048254A" w:rsidP="0098168C">
      <w:pPr>
        <w:widowControl w:val="0"/>
        <w:pBdr>
          <w:bottom w:val="double" w:sz="6" w:space="1" w:color="auto"/>
        </w:pBdr>
        <w:spacing w:line="300" w:lineRule="auto"/>
        <w:rPr>
          <w:color w:val="000000"/>
          <w:szCs w:val="24"/>
        </w:rPr>
      </w:pPr>
      <w:r w:rsidRPr="00D15774">
        <w:rPr>
          <w:b/>
          <w:color w:val="000000"/>
          <w:szCs w:val="24"/>
          <w:u w:val="single"/>
        </w:rPr>
        <w:t>Montana R</w:t>
      </w:r>
      <w:r w:rsidR="00DD63DD" w:rsidRPr="00D15774">
        <w:rPr>
          <w:b/>
          <w:color w:val="000000"/>
          <w:szCs w:val="24"/>
          <w:u w:val="single"/>
        </w:rPr>
        <w:t>egistration</w:t>
      </w:r>
      <w:r w:rsidRPr="00D15774">
        <w:rPr>
          <w:b/>
          <w:color w:val="000000"/>
          <w:szCs w:val="24"/>
          <w:u w:val="single"/>
        </w:rPr>
        <w:t xml:space="preserve"> –</w:t>
      </w:r>
      <w:r w:rsidR="002A3716" w:rsidRPr="00D15774">
        <w:rPr>
          <w:b/>
          <w:color w:val="000000"/>
          <w:szCs w:val="24"/>
          <w:u w:val="single"/>
        </w:rPr>
        <w:t xml:space="preserve"> </w:t>
      </w:r>
      <w:r w:rsidRPr="00D15774">
        <w:rPr>
          <w:b/>
          <w:color w:val="000000"/>
          <w:szCs w:val="24"/>
          <w:u w:val="single"/>
        </w:rPr>
        <w:t>17</w:t>
      </w:r>
      <w:r w:rsidR="00DD63DD" w:rsidRPr="00D15774">
        <w:rPr>
          <w:b/>
          <w:color w:val="000000"/>
          <w:szCs w:val="24"/>
          <w:u w:val="single"/>
        </w:rPr>
        <w:t>.8.1</w:t>
      </w:r>
      <w:r w:rsidR="00CD0C71" w:rsidRPr="00D15774">
        <w:rPr>
          <w:b/>
          <w:color w:val="000000"/>
          <w:szCs w:val="24"/>
          <w:u w:val="single"/>
        </w:rPr>
        <w:t>711(1)(a)</w:t>
      </w:r>
      <w:r w:rsidR="00DD63DD" w:rsidRPr="00D15774">
        <w:rPr>
          <w:b/>
          <w:color w:val="000000"/>
          <w:szCs w:val="24"/>
        </w:rPr>
        <w:t xml:space="preserve">  - </w:t>
      </w:r>
      <w:r w:rsidR="00DD63DD" w:rsidRPr="00D15774">
        <w:rPr>
          <w:color w:val="000000"/>
          <w:szCs w:val="24"/>
        </w:rPr>
        <w:t>VOC vapors (&gt;200 Btu/scf) from each piece of O&amp;G well facility equipment, with a PTE &gt; 15 tpy, must be captured and routed to a gas pipeline, or routed to air pollution control equipment with a 95% or greater control efficiency.</w:t>
      </w:r>
    </w:p>
    <w:p w:rsidR="0098168C" w:rsidRPr="00D15774" w:rsidRDefault="0098168C" w:rsidP="0098168C">
      <w:pPr>
        <w:widowControl w:val="0"/>
        <w:pBdr>
          <w:bottom w:val="double" w:sz="6" w:space="1" w:color="auto"/>
        </w:pBdr>
        <w:spacing w:line="300" w:lineRule="auto"/>
        <w:rPr>
          <w:color w:val="000000"/>
          <w:szCs w:val="24"/>
        </w:rPr>
      </w:pPr>
    </w:p>
    <w:p w:rsidR="0098168C" w:rsidRPr="00D15774" w:rsidRDefault="0098168C">
      <w:pPr>
        <w:rPr>
          <w:color w:val="000000"/>
          <w:szCs w:val="24"/>
        </w:rPr>
      </w:pPr>
      <w:r w:rsidRPr="00D15774">
        <w:rPr>
          <w:color w:val="000000"/>
          <w:szCs w:val="24"/>
        </w:rPr>
        <w:br w:type="page"/>
      </w:r>
    </w:p>
    <w:tbl>
      <w:tblPr>
        <w:tblW w:w="14256" w:type="dxa"/>
        <w:tblLook w:val="04A0" w:firstRow="1" w:lastRow="0" w:firstColumn="1" w:lastColumn="0" w:noHBand="0" w:noVBand="1"/>
      </w:tblPr>
      <w:tblGrid>
        <w:gridCol w:w="1520"/>
        <w:gridCol w:w="64"/>
        <w:gridCol w:w="1584"/>
        <w:gridCol w:w="1691"/>
        <w:gridCol w:w="1584"/>
        <w:gridCol w:w="1584"/>
        <w:gridCol w:w="1584"/>
        <w:gridCol w:w="1575"/>
        <w:gridCol w:w="1538"/>
        <w:gridCol w:w="1534"/>
      </w:tblGrid>
      <w:tr w:rsidR="00DC4B11" w:rsidRPr="00D15774" w:rsidTr="00C6139D">
        <w:trPr>
          <w:trHeight w:val="315"/>
          <w:tblHeader/>
        </w:trPr>
        <w:tc>
          <w:tcPr>
            <w:tcW w:w="14256" w:type="dxa"/>
            <w:gridSpan w:val="10"/>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E64B1" w:rsidRPr="008A07D5" w:rsidRDefault="003E64B1" w:rsidP="008A07D5">
            <w:pPr>
              <w:pStyle w:val="Heading4"/>
              <w:jc w:val="center"/>
              <w:rPr>
                <w:rFonts w:ascii="Times New Roman" w:hAnsi="Times New Roman" w:cs="Times New Roman"/>
                <w:i w:val="0"/>
              </w:rPr>
            </w:pPr>
            <w:bookmarkStart w:id="47" w:name="_Toc369087002"/>
            <w:r w:rsidRPr="008A07D5">
              <w:rPr>
                <w:rFonts w:ascii="Times New Roman" w:hAnsi="Times New Roman" w:cs="Times New Roman"/>
                <w:i w:val="0"/>
                <w:color w:val="auto"/>
              </w:rPr>
              <w:lastRenderedPageBreak/>
              <w:t xml:space="preserve">Table </w:t>
            </w:r>
            <w:r w:rsidR="00416BE9" w:rsidRPr="008A07D5">
              <w:rPr>
                <w:rFonts w:ascii="Times New Roman" w:hAnsi="Times New Roman" w:cs="Times New Roman"/>
                <w:i w:val="0"/>
                <w:color w:val="auto"/>
              </w:rPr>
              <w:t>3</w:t>
            </w:r>
            <w:r w:rsidRPr="008A07D5">
              <w:rPr>
                <w:rFonts w:ascii="Times New Roman" w:hAnsi="Times New Roman" w:cs="Times New Roman"/>
                <w:i w:val="0"/>
                <w:color w:val="auto"/>
              </w:rPr>
              <w:t>:  State Control Regulations as Compared to Federal Rules (NOx Control Requirements)</w:t>
            </w:r>
            <w:bookmarkEnd w:id="47"/>
          </w:p>
        </w:tc>
      </w:tr>
      <w:tr w:rsidR="003E64B1" w:rsidRPr="00D15774" w:rsidTr="00C6139D">
        <w:trPr>
          <w:trHeight w:val="315"/>
          <w:tblHeader/>
        </w:trPr>
        <w:tc>
          <w:tcPr>
            <w:tcW w:w="1520" w:type="dxa"/>
            <w:vMerge w:val="restart"/>
            <w:tcBorders>
              <w:top w:val="nil"/>
              <w:left w:val="single" w:sz="8" w:space="0" w:color="auto"/>
              <w:bottom w:val="single" w:sz="8" w:space="0" w:color="000000"/>
              <w:right w:val="nil"/>
            </w:tcBorders>
            <w:shd w:val="clear" w:color="auto" w:fill="auto"/>
            <w:noWrap/>
            <w:vAlign w:val="center"/>
            <w:hideMark/>
          </w:tcPr>
          <w:p w:rsidR="003E64B1" w:rsidRPr="00D15774" w:rsidRDefault="003E64B1" w:rsidP="003E64B1">
            <w:pPr>
              <w:jc w:val="center"/>
              <w:rPr>
                <w:b/>
                <w:bCs/>
                <w:color w:val="000000"/>
                <w:sz w:val="19"/>
                <w:szCs w:val="19"/>
              </w:rPr>
            </w:pPr>
            <w:r w:rsidRPr="00D15774">
              <w:rPr>
                <w:b/>
                <w:bCs/>
                <w:color w:val="000000"/>
                <w:sz w:val="19"/>
                <w:szCs w:val="19"/>
              </w:rPr>
              <w:t>Source Category</w:t>
            </w:r>
          </w:p>
        </w:tc>
        <w:tc>
          <w:tcPr>
            <w:tcW w:w="1648" w:type="dxa"/>
            <w:gridSpan w:val="2"/>
            <w:vMerge w:val="restart"/>
            <w:tcBorders>
              <w:top w:val="nil"/>
              <w:left w:val="nil"/>
              <w:bottom w:val="single" w:sz="8" w:space="0" w:color="000000"/>
              <w:right w:val="single" w:sz="8" w:space="0" w:color="auto"/>
            </w:tcBorders>
            <w:shd w:val="clear" w:color="auto" w:fill="auto"/>
            <w:vAlign w:val="center"/>
            <w:hideMark/>
          </w:tcPr>
          <w:p w:rsidR="003E64B1" w:rsidRPr="00D15774" w:rsidRDefault="003E64B1" w:rsidP="003E64B1">
            <w:pPr>
              <w:jc w:val="center"/>
              <w:rPr>
                <w:b/>
                <w:bCs/>
                <w:color w:val="000000"/>
                <w:sz w:val="19"/>
                <w:szCs w:val="19"/>
              </w:rPr>
            </w:pPr>
            <w:r w:rsidRPr="00D15774">
              <w:rPr>
                <w:b/>
                <w:bCs/>
                <w:color w:val="000000"/>
                <w:sz w:val="19"/>
                <w:szCs w:val="19"/>
              </w:rPr>
              <w:t>Federal Regulations</w:t>
            </w:r>
          </w:p>
        </w:tc>
        <w:tc>
          <w:tcPr>
            <w:tcW w:w="11088" w:type="dxa"/>
            <w:gridSpan w:val="7"/>
            <w:tcBorders>
              <w:top w:val="single" w:sz="8" w:space="0" w:color="auto"/>
              <w:left w:val="nil"/>
              <w:bottom w:val="nil"/>
              <w:right w:val="single" w:sz="8" w:space="0" w:color="000000"/>
            </w:tcBorders>
            <w:shd w:val="clear" w:color="auto" w:fill="auto"/>
            <w:vAlign w:val="center"/>
            <w:hideMark/>
          </w:tcPr>
          <w:p w:rsidR="003E64B1" w:rsidRPr="00D15774" w:rsidRDefault="003E64B1" w:rsidP="003E64B1">
            <w:pPr>
              <w:jc w:val="center"/>
              <w:rPr>
                <w:b/>
                <w:bCs/>
                <w:color w:val="000000"/>
                <w:sz w:val="19"/>
                <w:szCs w:val="19"/>
              </w:rPr>
            </w:pPr>
            <w:r w:rsidRPr="00D15774">
              <w:rPr>
                <w:b/>
                <w:bCs/>
                <w:color w:val="000000"/>
                <w:sz w:val="19"/>
                <w:szCs w:val="19"/>
              </w:rPr>
              <w:t>State Regulations</w:t>
            </w:r>
          </w:p>
        </w:tc>
      </w:tr>
      <w:tr w:rsidR="00DC4B11" w:rsidRPr="00D15774" w:rsidTr="00C6139D">
        <w:trPr>
          <w:trHeight w:val="315"/>
          <w:tblHeader/>
        </w:trPr>
        <w:tc>
          <w:tcPr>
            <w:tcW w:w="1520" w:type="dxa"/>
            <w:vMerge/>
            <w:tcBorders>
              <w:top w:val="nil"/>
              <w:left w:val="single" w:sz="8" w:space="0" w:color="auto"/>
              <w:bottom w:val="single" w:sz="8" w:space="0" w:color="000000"/>
              <w:right w:val="nil"/>
            </w:tcBorders>
            <w:vAlign w:val="center"/>
            <w:hideMark/>
          </w:tcPr>
          <w:p w:rsidR="003E64B1" w:rsidRPr="00D15774" w:rsidRDefault="003E64B1" w:rsidP="003E64B1">
            <w:pPr>
              <w:rPr>
                <w:b/>
                <w:bCs/>
                <w:color w:val="000000"/>
                <w:sz w:val="19"/>
                <w:szCs w:val="19"/>
              </w:rPr>
            </w:pPr>
          </w:p>
        </w:tc>
        <w:tc>
          <w:tcPr>
            <w:tcW w:w="1648" w:type="dxa"/>
            <w:gridSpan w:val="2"/>
            <w:vMerge/>
            <w:tcBorders>
              <w:top w:val="nil"/>
              <w:left w:val="nil"/>
              <w:bottom w:val="single" w:sz="8" w:space="0" w:color="000000"/>
              <w:right w:val="single" w:sz="8" w:space="0" w:color="auto"/>
            </w:tcBorders>
            <w:vAlign w:val="center"/>
            <w:hideMark/>
          </w:tcPr>
          <w:p w:rsidR="003E64B1" w:rsidRPr="00D15774" w:rsidRDefault="003E64B1" w:rsidP="003E64B1">
            <w:pPr>
              <w:rPr>
                <w:b/>
                <w:bCs/>
                <w:color w:val="000000"/>
                <w:sz w:val="19"/>
                <w:szCs w:val="19"/>
              </w:rPr>
            </w:pPr>
          </w:p>
        </w:tc>
        <w:tc>
          <w:tcPr>
            <w:tcW w:w="1584" w:type="dxa"/>
            <w:tcBorders>
              <w:top w:val="single" w:sz="8" w:space="0" w:color="auto"/>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9"/>
                <w:szCs w:val="19"/>
              </w:rPr>
            </w:pPr>
            <w:r w:rsidRPr="00D15774">
              <w:rPr>
                <w:color w:val="000000"/>
                <w:sz w:val="19"/>
                <w:szCs w:val="19"/>
              </w:rPr>
              <w:t>Alaska</w:t>
            </w:r>
          </w:p>
        </w:tc>
        <w:tc>
          <w:tcPr>
            <w:tcW w:w="1584" w:type="dxa"/>
            <w:tcBorders>
              <w:top w:val="single" w:sz="8" w:space="0" w:color="auto"/>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9"/>
                <w:szCs w:val="19"/>
              </w:rPr>
            </w:pPr>
            <w:r w:rsidRPr="00D15774">
              <w:rPr>
                <w:color w:val="000000"/>
                <w:sz w:val="19"/>
                <w:szCs w:val="19"/>
              </w:rPr>
              <w:t>Colorado</w:t>
            </w:r>
          </w:p>
        </w:tc>
        <w:tc>
          <w:tcPr>
            <w:tcW w:w="1584" w:type="dxa"/>
            <w:tcBorders>
              <w:top w:val="single" w:sz="8" w:space="0" w:color="auto"/>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9"/>
                <w:szCs w:val="19"/>
              </w:rPr>
            </w:pPr>
            <w:r w:rsidRPr="00D15774">
              <w:rPr>
                <w:color w:val="000000"/>
                <w:sz w:val="19"/>
                <w:szCs w:val="19"/>
              </w:rPr>
              <w:t>Montana</w:t>
            </w:r>
          </w:p>
        </w:tc>
        <w:tc>
          <w:tcPr>
            <w:tcW w:w="1584" w:type="dxa"/>
            <w:tcBorders>
              <w:top w:val="single" w:sz="8" w:space="0" w:color="auto"/>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9"/>
                <w:szCs w:val="19"/>
              </w:rPr>
            </w:pPr>
            <w:r w:rsidRPr="00D15774">
              <w:rPr>
                <w:color w:val="000000"/>
                <w:sz w:val="19"/>
                <w:szCs w:val="19"/>
              </w:rPr>
              <w:t>New Mexico</w:t>
            </w:r>
          </w:p>
        </w:tc>
        <w:tc>
          <w:tcPr>
            <w:tcW w:w="1584" w:type="dxa"/>
            <w:tcBorders>
              <w:top w:val="single" w:sz="8" w:space="0" w:color="auto"/>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9"/>
                <w:szCs w:val="19"/>
              </w:rPr>
            </w:pPr>
            <w:r w:rsidRPr="00D15774">
              <w:rPr>
                <w:color w:val="000000"/>
                <w:sz w:val="19"/>
                <w:szCs w:val="19"/>
              </w:rPr>
              <w:t>North Dakota</w:t>
            </w:r>
          </w:p>
        </w:tc>
        <w:tc>
          <w:tcPr>
            <w:tcW w:w="1584" w:type="dxa"/>
            <w:tcBorders>
              <w:top w:val="single" w:sz="8" w:space="0" w:color="auto"/>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9"/>
                <w:szCs w:val="19"/>
              </w:rPr>
            </w:pPr>
            <w:r w:rsidRPr="00D15774">
              <w:rPr>
                <w:color w:val="000000"/>
                <w:sz w:val="19"/>
                <w:szCs w:val="19"/>
              </w:rPr>
              <w:t>Utah</w:t>
            </w:r>
          </w:p>
        </w:tc>
        <w:tc>
          <w:tcPr>
            <w:tcW w:w="1584" w:type="dxa"/>
            <w:tcBorders>
              <w:top w:val="single" w:sz="8" w:space="0" w:color="auto"/>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9"/>
                <w:szCs w:val="19"/>
              </w:rPr>
            </w:pPr>
            <w:r w:rsidRPr="00D15774">
              <w:rPr>
                <w:color w:val="000000"/>
                <w:sz w:val="19"/>
                <w:szCs w:val="19"/>
              </w:rPr>
              <w:t>Wyoming</w:t>
            </w:r>
          </w:p>
        </w:tc>
      </w:tr>
      <w:tr w:rsidR="00DC4B11" w:rsidRPr="00D15774" w:rsidTr="00C6139D">
        <w:trPr>
          <w:trHeight w:val="90"/>
          <w:tblHeader/>
        </w:trPr>
        <w:tc>
          <w:tcPr>
            <w:tcW w:w="1584" w:type="dxa"/>
            <w:gridSpan w:val="2"/>
            <w:tcBorders>
              <w:top w:val="nil"/>
              <w:left w:val="single" w:sz="8" w:space="0" w:color="auto"/>
              <w:bottom w:val="single" w:sz="8" w:space="0" w:color="auto"/>
              <w:right w:val="single" w:sz="8" w:space="0" w:color="auto"/>
            </w:tcBorders>
            <w:shd w:val="clear" w:color="000000" w:fill="000000"/>
            <w:noWrap/>
            <w:vAlign w:val="center"/>
            <w:hideMark/>
          </w:tcPr>
          <w:p w:rsidR="003E64B1" w:rsidRPr="00D15774" w:rsidRDefault="003E64B1" w:rsidP="003E64B1">
            <w:pPr>
              <w:rPr>
                <w:color w:val="000000"/>
                <w:sz w:val="18"/>
                <w:szCs w:val="18"/>
              </w:rPr>
            </w:pPr>
            <w:r w:rsidRPr="00D15774">
              <w:rPr>
                <w:color w:val="000000"/>
                <w:sz w:val="18"/>
                <w:szCs w:val="18"/>
              </w:rPr>
              <w:t> </w:t>
            </w:r>
          </w:p>
        </w:tc>
        <w:tc>
          <w:tcPr>
            <w:tcW w:w="1584" w:type="dxa"/>
            <w:tcBorders>
              <w:top w:val="nil"/>
              <w:left w:val="nil"/>
              <w:bottom w:val="single" w:sz="8" w:space="0" w:color="auto"/>
              <w:right w:val="single" w:sz="8" w:space="0" w:color="auto"/>
            </w:tcBorders>
            <w:shd w:val="clear" w:color="000000" w:fill="000000"/>
            <w:vAlign w:val="center"/>
            <w:hideMark/>
          </w:tcPr>
          <w:p w:rsidR="003E64B1" w:rsidRPr="00D15774" w:rsidRDefault="003E64B1" w:rsidP="003E64B1">
            <w:pPr>
              <w:rPr>
                <w:color w:val="000000"/>
                <w:sz w:val="18"/>
                <w:szCs w:val="18"/>
              </w:rPr>
            </w:pPr>
            <w:r w:rsidRPr="00D15774">
              <w:rPr>
                <w:color w:val="000000"/>
                <w:sz w:val="18"/>
                <w:szCs w:val="18"/>
              </w:rPr>
              <w:t> </w:t>
            </w:r>
          </w:p>
        </w:tc>
        <w:tc>
          <w:tcPr>
            <w:tcW w:w="1584" w:type="dxa"/>
            <w:tcBorders>
              <w:top w:val="nil"/>
              <w:left w:val="nil"/>
              <w:bottom w:val="single" w:sz="8" w:space="0" w:color="auto"/>
              <w:right w:val="single" w:sz="8" w:space="0" w:color="auto"/>
            </w:tcBorders>
            <w:shd w:val="clear" w:color="000000" w:fill="000000"/>
            <w:vAlign w:val="center"/>
            <w:hideMark/>
          </w:tcPr>
          <w:p w:rsidR="003E64B1" w:rsidRPr="00D15774" w:rsidRDefault="003E64B1" w:rsidP="003E64B1">
            <w:pPr>
              <w:rPr>
                <w:color w:val="000000"/>
                <w:sz w:val="18"/>
                <w:szCs w:val="18"/>
              </w:rPr>
            </w:pPr>
            <w:r w:rsidRPr="00D15774">
              <w:rPr>
                <w:color w:val="000000"/>
                <w:sz w:val="18"/>
                <w:szCs w:val="18"/>
              </w:rPr>
              <w:t> </w:t>
            </w:r>
          </w:p>
        </w:tc>
        <w:tc>
          <w:tcPr>
            <w:tcW w:w="1584" w:type="dxa"/>
            <w:tcBorders>
              <w:top w:val="nil"/>
              <w:left w:val="nil"/>
              <w:bottom w:val="single" w:sz="8" w:space="0" w:color="auto"/>
              <w:right w:val="single" w:sz="8" w:space="0" w:color="auto"/>
            </w:tcBorders>
            <w:shd w:val="clear" w:color="000000" w:fill="000000"/>
            <w:vAlign w:val="center"/>
            <w:hideMark/>
          </w:tcPr>
          <w:p w:rsidR="003E64B1" w:rsidRPr="00D15774" w:rsidRDefault="003E64B1" w:rsidP="003E64B1">
            <w:pPr>
              <w:rPr>
                <w:color w:val="000000"/>
                <w:sz w:val="18"/>
                <w:szCs w:val="18"/>
              </w:rPr>
            </w:pPr>
            <w:r w:rsidRPr="00D15774">
              <w:rPr>
                <w:color w:val="000000"/>
                <w:sz w:val="18"/>
                <w:szCs w:val="18"/>
              </w:rPr>
              <w:t> </w:t>
            </w:r>
          </w:p>
        </w:tc>
        <w:tc>
          <w:tcPr>
            <w:tcW w:w="1584" w:type="dxa"/>
            <w:tcBorders>
              <w:top w:val="nil"/>
              <w:left w:val="nil"/>
              <w:bottom w:val="single" w:sz="8" w:space="0" w:color="auto"/>
              <w:right w:val="single" w:sz="8" w:space="0" w:color="auto"/>
            </w:tcBorders>
            <w:shd w:val="clear" w:color="000000" w:fill="000000"/>
            <w:vAlign w:val="center"/>
            <w:hideMark/>
          </w:tcPr>
          <w:p w:rsidR="003E64B1" w:rsidRPr="00D15774" w:rsidRDefault="003E64B1" w:rsidP="003E64B1">
            <w:pPr>
              <w:rPr>
                <w:color w:val="000000"/>
                <w:sz w:val="18"/>
                <w:szCs w:val="18"/>
              </w:rPr>
            </w:pPr>
            <w:r w:rsidRPr="00D15774">
              <w:rPr>
                <w:color w:val="000000"/>
                <w:sz w:val="18"/>
                <w:szCs w:val="18"/>
              </w:rPr>
              <w:t> </w:t>
            </w:r>
          </w:p>
        </w:tc>
        <w:tc>
          <w:tcPr>
            <w:tcW w:w="1584" w:type="dxa"/>
            <w:tcBorders>
              <w:top w:val="nil"/>
              <w:left w:val="nil"/>
              <w:bottom w:val="single" w:sz="8" w:space="0" w:color="auto"/>
              <w:right w:val="single" w:sz="8" w:space="0" w:color="auto"/>
            </w:tcBorders>
            <w:shd w:val="clear" w:color="000000" w:fill="000000"/>
            <w:vAlign w:val="center"/>
            <w:hideMark/>
          </w:tcPr>
          <w:p w:rsidR="003E64B1" w:rsidRPr="00D15774" w:rsidRDefault="003E64B1" w:rsidP="003E64B1">
            <w:pPr>
              <w:rPr>
                <w:color w:val="000000"/>
                <w:sz w:val="18"/>
                <w:szCs w:val="18"/>
              </w:rPr>
            </w:pPr>
            <w:r w:rsidRPr="00D15774">
              <w:rPr>
                <w:color w:val="000000"/>
                <w:sz w:val="18"/>
                <w:szCs w:val="18"/>
              </w:rPr>
              <w:t> </w:t>
            </w:r>
          </w:p>
        </w:tc>
        <w:tc>
          <w:tcPr>
            <w:tcW w:w="1584" w:type="dxa"/>
            <w:tcBorders>
              <w:top w:val="nil"/>
              <w:left w:val="nil"/>
              <w:bottom w:val="single" w:sz="8" w:space="0" w:color="auto"/>
              <w:right w:val="single" w:sz="8" w:space="0" w:color="auto"/>
            </w:tcBorders>
            <w:shd w:val="clear" w:color="000000" w:fill="000000"/>
            <w:vAlign w:val="center"/>
            <w:hideMark/>
          </w:tcPr>
          <w:p w:rsidR="003E64B1" w:rsidRPr="00D15774" w:rsidRDefault="003E64B1" w:rsidP="003E64B1">
            <w:pPr>
              <w:rPr>
                <w:color w:val="000000"/>
                <w:sz w:val="18"/>
                <w:szCs w:val="18"/>
              </w:rPr>
            </w:pPr>
            <w:r w:rsidRPr="00D15774">
              <w:rPr>
                <w:color w:val="000000"/>
                <w:sz w:val="18"/>
                <w:szCs w:val="18"/>
              </w:rPr>
              <w:t> </w:t>
            </w:r>
          </w:p>
        </w:tc>
        <w:tc>
          <w:tcPr>
            <w:tcW w:w="1584" w:type="dxa"/>
            <w:tcBorders>
              <w:top w:val="nil"/>
              <w:left w:val="nil"/>
              <w:bottom w:val="single" w:sz="8" w:space="0" w:color="auto"/>
              <w:right w:val="single" w:sz="8" w:space="0" w:color="auto"/>
            </w:tcBorders>
            <w:shd w:val="clear" w:color="000000" w:fill="000000"/>
            <w:vAlign w:val="center"/>
            <w:hideMark/>
          </w:tcPr>
          <w:p w:rsidR="003E64B1" w:rsidRPr="00D15774" w:rsidRDefault="003E64B1" w:rsidP="003E64B1">
            <w:pPr>
              <w:rPr>
                <w:color w:val="000000"/>
                <w:sz w:val="18"/>
                <w:szCs w:val="18"/>
              </w:rPr>
            </w:pPr>
            <w:r w:rsidRPr="00D15774">
              <w:rPr>
                <w:color w:val="000000"/>
                <w:sz w:val="18"/>
                <w:szCs w:val="18"/>
              </w:rPr>
              <w:t> </w:t>
            </w:r>
          </w:p>
        </w:tc>
        <w:tc>
          <w:tcPr>
            <w:tcW w:w="1584" w:type="dxa"/>
            <w:tcBorders>
              <w:top w:val="nil"/>
              <w:left w:val="nil"/>
              <w:bottom w:val="single" w:sz="8" w:space="0" w:color="auto"/>
              <w:right w:val="single" w:sz="8" w:space="0" w:color="auto"/>
            </w:tcBorders>
            <w:shd w:val="clear" w:color="000000" w:fill="000000"/>
            <w:vAlign w:val="center"/>
            <w:hideMark/>
          </w:tcPr>
          <w:p w:rsidR="003E64B1" w:rsidRPr="00D15774" w:rsidRDefault="003E64B1" w:rsidP="003E64B1">
            <w:pPr>
              <w:rPr>
                <w:color w:val="000000"/>
                <w:sz w:val="18"/>
                <w:szCs w:val="18"/>
              </w:rPr>
            </w:pPr>
            <w:r w:rsidRPr="00D15774">
              <w:rPr>
                <w:color w:val="000000"/>
                <w:sz w:val="18"/>
                <w:szCs w:val="18"/>
              </w:rPr>
              <w:t> </w:t>
            </w:r>
          </w:p>
        </w:tc>
      </w:tr>
      <w:tr w:rsidR="00DC4B11" w:rsidRPr="00D15774" w:rsidTr="00DC4B11">
        <w:trPr>
          <w:trHeight w:val="1999"/>
        </w:trPr>
        <w:tc>
          <w:tcPr>
            <w:tcW w:w="1584" w:type="dxa"/>
            <w:gridSpan w:val="2"/>
            <w:tcBorders>
              <w:top w:val="nil"/>
              <w:left w:val="single" w:sz="8" w:space="0" w:color="auto"/>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Gas Fired Process Heaters and Boilers</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b/>
                <w:bCs/>
                <w:color w:val="000000"/>
                <w:sz w:val="18"/>
                <w:szCs w:val="18"/>
                <w:u w:val="single"/>
              </w:rPr>
            </w:pPr>
            <w:r w:rsidRPr="00D15774">
              <w:rPr>
                <w:b/>
                <w:bCs/>
                <w:color w:val="000000"/>
                <w:sz w:val="18"/>
                <w:szCs w:val="18"/>
                <w:u w:val="single"/>
              </w:rPr>
              <w:t>Subpart Db &amp; Dc</w:t>
            </w:r>
            <w:r w:rsidRPr="00D15774">
              <w:rPr>
                <w:b/>
                <w:bCs/>
                <w:color w:val="000000"/>
                <w:sz w:val="18"/>
                <w:szCs w:val="18"/>
                <w:u w:val="single"/>
              </w:rPr>
              <w:br/>
            </w:r>
            <w:r w:rsidRPr="00D15774">
              <w:rPr>
                <w:color w:val="000000"/>
                <w:sz w:val="18"/>
                <w:szCs w:val="18"/>
              </w:rPr>
              <w:t>O&amp;G sources generally covered, but sources are typically too small for applicability under these regulations</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9336E2">
            <w:pPr>
              <w:jc w:val="center"/>
              <w:rPr>
                <w:color w:val="000000"/>
                <w:sz w:val="18"/>
                <w:szCs w:val="18"/>
              </w:rPr>
            </w:pPr>
            <w:r w:rsidRPr="00D15774">
              <w:rPr>
                <w:color w:val="000000"/>
                <w:sz w:val="18"/>
                <w:szCs w:val="18"/>
              </w:rPr>
              <w:t>No additional state requirements</w:t>
            </w:r>
            <w:r w:rsidR="009336E2" w:rsidRPr="00D15774">
              <w:rPr>
                <w:color w:val="000000"/>
                <w:sz w:val="18"/>
                <w:szCs w:val="18"/>
              </w:rPr>
              <w:t>,</w:t>
            </w:r>
            <w:r w:rsidRPr="00D15774">
              <w:rPr>
                <w:color w:val="000000"/>
                <w:sz w:val="18"/>
                <w:szCs w:val="18"/>
              </w:rPr>
              <w:t xml:space="preserve"> but Alaska has adopted NSPS Subpart Db &amp; Dc</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 xml:space="preserve">No additional state </w:t>
            </w:r>
            <w:r w:rsidR="009336E2" w:rsidRPr="00D15774">
              <w:rPr>
                <w:color w:val="000000"/>
                <w:sz w:val="18"/>
                <w:szCs w:val="18"/>
              </w:rPr>
              <w:t xml:space="preserve">requirements, but </w:t>
            </w:r>
            <w:r w:rsidRPr="00D15774">
              <w:rPr>
                <w:color w:val="000000"/>
                <w:sz w:val="18"/>
                <w:szCs w:val="18"/>
              </w:rPr>
              <w:t>Colorado has adopted NSPS Subpart Db &amp; Dc</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 xml:space="preserve">No additional state </w:t>
            </w:r>
            <w:r w:rsidR="009336E2" w:rsidRPr="00D15774">
              <w:rPr>
                <w:color w:val="000000"/>
                <w:sz w:val="18"/>
                <w:szCs w:val="18"/>
              </w:rPr>
              <w:t xml:space="preserve">requirements, but </w:t>
            </w:r>
            <w:r w:rsidRPr="00D15774">
              <w:rPr>
                <w:color w:val="000000"/>
                <w:sz w:val="18"/>
                <w:szCs w:val="18"/>
              </w:rPr>
              <w:t>Montana has adopted NSPS Subpart Db &amp; Dc</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 xml:space="preserve">No additional state </w:t>
            </w:r>
            <w:r w:rsidR="009336E2" w:rsidRPr="00D15774">
              <w:rPr>
                <w:color w:val="000000"/>
                <w:sz w:val="18"/>
                <w:szCs w:val="18"/>
              </w:rPr>
              <w:t>requirements, but</w:t>
            </w:r>
            <w:r w:rsidRPr="00D15774">
              <w:rPr>
                <w:color w:val="000000"/>
                <w:sz w:val="18"/>
                <w:szCs w:val="18"/>
              </w:rPr>
              <w:t xml:space="preserve"> New Mexico has adopted NSPS Subpart Db &amp; Dc</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9336E2">
            <w:pPr>
              <w:jc w:val="center"/>
              <w:rPr>
                <w:color w:val="000000"/>
                <w:sz w:val="18"/>
                <w:szCs w:val="18"/>
              </w:rPr>
            </w:pPr>
            <w:r w:rsidRPr="00D15774">
              <w:rPr>
                <w:color w:val="000000"/>
                <w:sz w:val="18"/>
                <w:szCs w:val="18"/>
              </w:rPr>
              <w:t xml:space="preserve">No additional state </w:t>
            </w:r>
            <w:r w:rsidR="009336E2" w:rsidRPr="00D15774">
              <w:rPr>
                <w:color w:val="000000"/>
                <w:sz w:val="18"/>
                <w:szCs w:val="18"/>
              </w:rPr>
              <w:t>requirements, but</w:t>
            </w:r>
            <w:r w:rsidRPr="00D15774">
              <w:rPr>
                <w:color w:val="000000"/>
                <w:sz w:val="18"/>
                <w:szCs w:val="18"/>
              </w:rPr>
              <w:t xml:space="preserve"> North Dakota has adopted NSPS Subpart Db &amp; Dc</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 xml:space="preserve">No additional state </w:t>
            </w:r>
            <w:r w:rsidR="009336E2" w:rsidRPr="00D15774">
              <w:rPr>
                <w:color w:val="000000"/>
                <w:sz w:val="18"/>
                <w:szCs w:val="18"/>
              </w:rPr>
              <w:t xml:space="preserve">requirements, but </w:t>
            </w:r>
            <w:r w:rsidRPr="00D15774">
              <w:rPr>
                <w:color w:val="000000"/>
                <w:sz w:val="18"/>
                <w:szCs w:val="18"/>
              </w:rPr>
              <w:t>Utah has adopted NSPS Subpart Db &amp; Dc</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 xml:space="preserve">No additional state </w:t>
            </w:r>
            <w:r w:rsidR="009336E2" w:rsidRPr="00D15774">
              <w:rPr>
                <w:color w:val="000000"/>
                <w:sz w:val="18"/>
                <w:szCs w:val="18"/>
              </w:rPr>
              <w:t>requirements, but</w:t>
            </w:r>
            <w:r w:rsidRPr="00D15774">
              <w:rPr>
                <w:color w:val="000000"/>
                <w:sz w:val="18"/>
                <w:szCs w:val="18"/>
              </w:rPr>
              <w:t>, Wyom</w:t>
            </w:r>
            <w:r w:rsidR="00DD18DE" w:rsidRPr="00D15774">
              <w:rPr>
                <w:color w:val="000000"/>
                <w:sz w:val="18"/>
                <w:szCs w:val="18"/>
              </w:rPr>
              <w:t>i</w:t>
            </w:r>
            <w:r w:rsidRPr="00D15774">
              <w:rPr>
                <w:color w:val="000000"/>
                <w:sz w:val="18"/>
                <w:szCs w:val="18"/>
              </w:rPr>
              <w:t>ng has adopted NSPS Subpart Db &amp; Dc</w:t>
            </w:r>
          </w:p>
        </w:tc>
      </w:tr>
      <w:tr w:rsidR="00DC4B11" w:rsidRPr="00D15774" w:rsidTr="00DC4B11">
        <w:trPr>
          <w:trHeight w:val="1999"/>
        </w:trPr>
        <w:tc>
          <w:tcPr>
            <w:tcW w:w="1584" w:type="dxa"/>
            <w:gridSpan w:val="2"/>
            <w:tcBorders>
              <w:top w:val="nil"/>
              <w:left w:val="single" w:sz="8" w:space="0" w:color="auto"/>
              <w:bottom w:val="single" w:sz="8" w:space="0" w:color="auto"/>
              <w:right w:val="single" w:sz="8" w:space="0" w:color="auto"/>
            </w:tcBorders>
            <w:shd w:val="clear" w:color="auto" w:fill="auto"/>
            <w:vAlign w:val="center"/>
            <w:hideMark/>
          </w:tcPr>
          <w:p w:rsidR="003E64B1" w:rsidRPr="00D15774" w:rsidRDefault="003E64B1" w:rsidP="003A2744">
            <w:pPr>
              <w:jc w:val="center"/>
              <w:rPr>
                <w:color w:val="000000"/>
                <w:sz w:val="18"/>
                <w:szCs w:val="18"/>
              </w:rPr>
            </w:pPr>
            <w:r w:rsidRPr="00D15774">
              <w:rPr>
                <w:color w:val="000000"/>
                <w:sz w:val="18"/>
                <w:szCs w:val="18"/>
              </w:rPr>
              <w:t xml:space="preserve">Compression Ignition (CI) </w:t>
            </w:r>
            <w:r w:rsidR="003A2744" w:rsidRPr="00D15774">
              <w:rPr>
                <w:color w:val="000000"/>
                <w:sz w:val="18"/>
                <w:szCs w:val="18"/>
              </w:rPr>
              <w:t>Internal Combustion Engines (</w:t>
            </w:r>
            <w:r w:rsidRPr="00D15774">
              <w:rPr>
                <w:color w:val="000000"/>
                <w:sz w:val="18"/>
                <w:szCs w:val="18"/>
              </w:rPr>
              <w:t>ICE)</w:t>
            </w:r>
            <w:r w:rsidRPr="00D15774">
              <w:rPr>
                <w:color w:val="000000"/>
                <w:sz w:val="18"/>
                <w:szCs w:val="18"/>
              </w:rPr>
              <w:br/>
              <w:t xml:space="preserve"> (typically diesel drill rig engines in O&amp;G)</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b/>
                <w:bCs/>
                <w:color w:val="000000"/>
                <w:sz w:val="18"/>
                <w:szCs w:val="18"/>
                <w:u w:val="single"/>
              </w:rPr>
            </w:pPr>
            <w:r w:rsidRPr="00D15774">
              <w:rPr>
                <w:b/>
                <w:bCs/>
                <w:color w:val="000000"/>
                <w:sz w:val="18"/>
                <w:szCs w:val="18"/>
                <w:u w:val="single"/>
              </w:rPr>
              <w:t>Subpart IIII</w:t>
            </w:r>
            <w:r w:rsidRPr="00D15774">
              <w:rPr>
                <w:b/>
                <w:bCs/>
                <w:color w:val="000000"/>
                <w:sz w:val="18"/>
                <w:szCs w:val="18"/>
                <w:u w:val="single"/>
              </w:rPr>
              <w:br/>
            </w:r>
            <w:r w:rsidRPr="00D15774">
              <w:rPr>
                <w:color w:val="000000"/>
                <w:sz w:val="18"/>
                <w:szCs w:val="18"/>
              </w:rPr>
              <w:t>grams/h</w:t>
            </w:r>
            <w:r w:rsidR="003A2744" w:rsidRPr="00D15774">
              <w:rPr>
                <w:color w:val="000000"/>
                <w:sz w:val="18"/>
                <w:szCs w:val="18"/>
              </w:rPr>
              <w:t>p-hr standards for NOx from CI-</w:t>
            </w:r>
            <w:r w:rsidRPr="00D15774">
              <w:rPr>
                <w:color w:val="000000"/>
                <w:sz w:val="18"/>
                <w:szCs w:val="18"/>
              </w:rPr>
              <w:t>ICE</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 xml:space="preserve">No additional state </w:t>
            </w:r>
            <w:r w:rsidR="009336E2" w:rsidRPr="00D15774">
              <w:rPr>
                <w:color w:val="000000"/>
                <w:sz w:val="18"/>
                <w:szCs w:val="18"/>
              </w:rPr>
              <w:t>requirements, but</w:t>
            </w:r>
            <w:r w:rsidRPr="00D15774">
              <w:rPr>
                <w:color w:val="000000"/>
                <w:sz w:val="18"/>
                <w:szCs w:val="18"/>
              </w:rPr>
              <w:t xml:space="preserve"> Alaska has adopted NSPS Subpart IIII</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 xml:space="preserve">No additional state </w:t>
            </w:r>
            <w:r w:rsidR="009336E2" w:rsidRPr="00D15774">
              <w:rPr>
                <w:color w:val="000000"/>
                <w:sz w:val="18"/>
                <w:szCs w:val="18"/>
              </w:rPr>
              <w:t xml:space="preserve">requirements, but </w:t>
            </w:r>
            <w:r w:rsidRPr="00D15774">
              <w:rPr>
                <w:color w:val="000000"/>
                <w:sz w:val="18"/>
                <w:szCs w:val="18"/>
              </w:rPr>
              <w:t>Colorado has adopted NSPS Subpart IIII</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 xml:space="preserve">No additional state </w:t>
            </w:r>
            <w:r w:rsidR="009336E2" w:rsidRPr="00D15774">
              <w:rPr>
                <w:color w:val="000000"/>
                <w:sz w:val="18"/>
                <w:szCs w:val="18"/>
              </w:rPr>
              <w:t xml:space="preserve">requirements, but </w:t>
            </w:r>
            <w:r w:rsidRPr="00D15774">
              <w:rPr>
                <w:color w:val="000000"/>
                <w:sz w:val="18"/>
                <w:szCs w:val="18"/>
              </w:rPr>
              <w:t>Montana has adopted NSPS Subpart IIII</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 xml:space="preserve">No additional state </w:t>
            </w:r>
            <w:r w:rsidR="009336E2" w:rsidRPr="00D15774">
              <w:rPr>
                <w:color w:val="000000"/>
                <w:sz w:val="18"/>
                <w:szCs w:val="18"/>
              </w:rPr>
              <w:t xml:space="preserve">requirements, but </w:t>
            </w:r>
            <w:r w:rsidRPr="00D15774">
              <w:rPr>
                <w:color w:val="000000"/>
                <w:sz w:val="18"/>
                <w:szCs w:val="18"/>
              </w:rPr>
              <w:t>New Mexico has adopted NSPS Subpart IIII</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 xml:space="preserve">No additional state </w:t>
            </w:r>
            <w:r w:rsidR="009336E2" w:rsidRPr="00D15774">
              <w:rPr>
                <w:color w:val="000000"/>
                <w:sz w:val="18"/>
                <w:szCs w:val="18"/>
              </w:rPr>
              <w:t xml:space="preserve">requirements, but </w:t>
            </w:r>
            <w:r w:rsidRPr="00D15774">
              <w:rPr>
                <w:color w:val="000000"/>
                <w:sz w:val="18"/>
                <w:szCs w:val="18"/>
              </w:rPr>
              <w:t>North Dakota has adopted NSPS Subpart IIII</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 xml:space="preserve">No additional state </w:t>
            </w:r>
            <w:r w:rsidR="009336E2" w:rsidRPr="00D15774">
              <w:rPr>
                <w:color w:val="000000"/>
                <w:sz w:val="18"/>
                <w:szCs w:val="18"/>
              </w:rPr>
              <w:t xml:space="preserve">requirements, but </w:t>
            </w:r>
            <w:r w:rsidRPr="00D15774">
              <w:rPr>
                <w:color w:val="000000"/>
                <w:sz w:val="18"/>
                <w:szCs w:val="18"/>
              </w:rPr>
              <w:t>Utah has adopted NSPS Subpart IIII</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 xml:space="preserve">No additional state </w:t>
            </w:r>
            <w:r w:rsidR="009336E2" w:rsidRPr="00D15774">
              <w:rPr>
                <w:color w:val="000000"/>
                <w:sz w:val="18"/>
                <w:szCs w:val="18"/>
              </w:rPr>
              <w:t xml:space="preserve">requirements, but </w:t>
            </w:r>
            <w:r w:rsidRPr="00D15774">
              <w:rPr>
                <w:color w:val="000000"/>
                <w:sz w:val="18"/>
                <w:szCs w:val="18"/>
              </w:rPr>
              <w:t>Wyom</w:t>
            </w:r>
            <w:r w:rsidR="00DD18DE" w:rsidRPr="00D15774">
              <w:rPr>
                <w:color w:val="000000"/>
                <w:sz w:val="18"/>
                <w:szCs w:val="18"/>
              </w:rPr>
              <w:t>i</w:t>
            </w:r>
            <w:r w:rsidRPr="00D15774">
              <w:rPr>
                <w:color w:val="000000"/>
                <w:sz w:val="18"/>
                <w:szCs w:val="18"/>
              </w:rPr>
              <w:t>ng has adopted NSPS Subpart IIII</w:t>
            </w:r>
          </w:p>
        </w:tc>
      </w:tr>
      <w:tr w:rsidR="00DC4B11" w:rsidRPr="00D15774" w:rsidTr="00DC4B11">
        <w:trPr>
          <w:trHeight w:val="1999"/>
        </w:trPr>
        <w:tc>
          <w:tcPr>
            <w:tcW w:w="1584" w:type="dxa"/>
            <w:gridSpan w:val="2"/>
            <w:tcBorders>
              <w:top w:val="nil"/>
              <w:left w:val="single" w:sz="8" w:space="0" w:color="auto"/>
              <w:bottom w:val="single" w:sz="8" w:space="0" w:color="auto"/>
              <w:right w:val="single" w:sz="8" w:space="0" w:color="auto"/>
            </w:tcBorders>
            <w:shd w:val="clear" w:color="auto" w:fill="auto"/>
            <w:vAlign w:val="center"/>
            <w:hideMark/>
          </w:tcPr>
          <w:p w:rsidR="003E64B1" w:rsidRPr="00D15774" w:rsidRDefault="003E64B1" w:rsidP="003A2744">
            <w:pPr>
              <w:jc w:val="center"/>
              <w:rPr>
                <w:color w:val="000000"/>
                <w:sz w:val="18"/>
                <w:szCs w:val="18"/>
              </w:rPr>
            </w:pPr>
            <w:r w:rsidRPr="00D15774">
              <w:rPr>
                <w:color w:val="000000"/>
                <w:sz w:val="18"/>
                <w:szCs w:val="18"/>
              </w:rPr>
              <w:t>Spark Ignition (SI) Internal Combustion Engines (ICE)</w:t>
            </w:r>
            <w:r w:rsidRPr="00D15774">
              <w:rPr>
                <w:color w:val="000000"/>
                <w:sz w:val="18"/>
                <w:szCs w:val="18"/>
              </w:rPr>
              <w:br/>
              <w:t>(typically gas fired compressor engines in O&amp;G)</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A2744">
            <w:pPr>
              <w:jc w:val="center"/>
              <w:rPr>
                <w:b/>
                <w:bCs/>
                <w:color w:val="000000"/>
                <w:sz w:val="18"/>
                <w:szCs w:val="18"/>
                <w:u w:val="single"/>
              </w:rPr>
            </w:pPr>
            <w:r w:rsidRPr="00D15774">
              <w:rPr>
                <w:b/>
                <w:bCs/>
                <w:color w:val="000000"/>
                <w:sz w:val="18"/>
                <w:szCs w:val="18"/>
                <w:u w:val="single"/>
              </w:rPr>
              <w:t>Subpart JJJJ</w:t>
            </w:r>
            <w:r w:rsidRPr="00D15774">
              <w:rPr>
                <w:b/>
                <w:bCs/>
                <w:color w:val="000000"/>
                <w:sz w:val="18"/>
                <w:szCs w:val="18"/>
                <w:u w:val="single"/>
              </w:rPr>
              <w:br/>
            </w:r>
            <w:r w:rsidRPr="00D15774">
              <w:rPr>
                <w:color w:val="000000"/>
                <w:sz w:val="18"/>
                <w:szCs w:val="18"/>
              </w:rPr>
              <w:t>grams/hp-hr standards for NOx from SI-ICE</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 xml:space="preserve">No additional state </w:t>
            </w:r>
            <w:r w:rsidR="009336E2" w:rsidRPr="00D15774">
              <w:rPr>
                <w:color w:val="000000"/>
                <w:sz w:val="18"/>
                <w:szCs w:val="18"/>
              </w:rPr>
              <w:t xml:space="preserve">requirements, but </w:t>
            </w:r>
            <w:r w:rsidRPr="00D15774">
              <w:rPr>
                <w:color w:val="000000"/>
                <w:sz w:val="18"/>
                <w:szCs w:val="18"/>
              </w:rPr>
              <w:t>Alaska has adopted NSPS Subpart JJJJ</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Colorado has not adopted NSPS Subpart JJJJ, but</w:t>
            </w:r>
            <w:r w:rsidRPr="00D15774">
              <w:rPr>
                <w:color w:val="000000"/>
                <w:sz w:val="18"/>
                <w:szCs w:val="18"/>
              </w:rPr>
              <w:br/>
            </w:r>
            <w:r w:rsidRPr="00D15774">
              <w:rPr>
                <w:b/>
                <w:bCs/>
                <w:color w:val="000000"/>
                <w:sz w:val="18"/>
                <w:szCs w:val="18"/>
                <w:u w:val="single"/>
              </w:rPr>
              <w:t>Reg. 7, XVII.E</w:t>
            </w:r>
            <w:r w:rsidRPr="00D15774">
              <w:rPr>
                <w:color w:val="000000"/>
                <w:sz w:val="18"/>
                <w:szCs w:val="18"/>
              </w:rPr>
              <w:t xml:space="preserve"> sets t</w:t>
            </w:r>
            <w:r w:rsidR="003A2744" w:rsidRPr="00D15774">
              <w:rPr>
                <w:color w:val="000000"/>
                <w:sz w:val="18"/>
                <w:szCs w:val="18"/>
              </w:rPr>
              <w:t>he ceiling for emissions of SI-</w:t>
            </w:r>
            <w:r w:rsidRPr="00D15774">
              <w:rPr>
                <w:color w:val="000000"/>
                <w:sz w:val="18"/>
                <w:szCs w:val="18"/>
              </w:rPr>
              <w:t>ICE</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Montana has adopted NSPS Subpart JJJJ</w:t>
            </w:r>
            <w:r w:rsidRPr="00D15774">
              <w:rPr>
                <w:color w:val="000000"/>
                <w:sz w:val="18"/>
                <w:szCs w:val="18"/>
              </w:rPr>
              <w:br/>
            </w:r>
            <w:r w:rsidRPr="00D15774">
              <w:rPr>
                <w:b/>
                <w:bCs/>
                <w:color w:val="000000"/>
                <w:sz w:val="18"/>
                <w:szCs w:val="18"/>
                <w:u w:val="single"/>
              </w:rPr>
              <w:t>ARM 17.8.1711</w:t>
            </w:r>
            <w:r w:rsidRPr="00D15774">
              <w:rPr>
                <w:color w:val="000000"/>
                <w:sz w:val="18"/>
                <w:szCs w:val="18"/>
              </w:rPr>
              <w:t xml:space="preserve"> requires catalytic controls or equivalent on all stationary internal combustion engines &gt; 85 HP</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 xml:space="preserve">No additional state </w:t>
            </w:r>
            <w:r w:rsidR="009336E2" w:rsidRPr="00D15774">
              <w:rPr>
                <w:color w:val="000000"/>
                <w:sz w:val="18"/>
                <w:szCs w:val="18"/>
              </w:rPr>
              <w:t xml:space="preserve">requirements, but </w:t>
            </w:r>
            <w:r w:rsidRPr="00D15774">
              <w:rPr>
                <w:color w:val="000000"/>
                <w:sz w:val="18"/>
                <w:szCs w:val="18"/>
              </w:rPr>
              <w:t>New Mexico has adopted NSPS Subpart JJJJ</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 xml:space="preserve">No additional state </w:t>
            </w:r>
            <w:r w:rsidR="009336E2" w:rsidRPr="00D15774">
              <w:rPr>
                <w:color w:val="000000"/>
                <w:sz w:val="18"/>
                <w:szCs w:val="18"/>
              </w:rPr>
              <w:t xml:space="preserve">requirements, but </w:t>
            </w:r>
            <w:r w:rsidRPr="00D15774">
              <w:rPr>
                <w:color w:val="000000"/>
                <w:sz w:val="18"/>
                <w:szCs w:val="18"/>
              </w:rPr>
              <w:t>North Dakota has adopted NSPS Subpart JJJJ</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 xml:space="preserve">No additional state </w:t>
            </w:r>
            <w:r w:rsidR="009336E2" w:rsidRPr="00D15774">
              <w:rPr>
                <w:color w:val="000000"/>
                <w:sz w:val="18"/>
                <w:szCs w:val="18"/>
              </w:rPr>
              <w:t xml:space="preserve">requirements, but </w:t>
            </w:r>
            <w:r w:rsidRPr="00D15774">
              <w:rPr>
                <w:color w:val="000000"/>
                <w:sz w:val="18"/>
                <w:szCs w:val="18"/>
              </w:rPr>
              <w:t>Utah has adopted NSPS Subpart JJJJ</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 xml:space="preserve">No additional state </w:t>
            </w:r>
            <w:r w:rsidR="009336E2" w:rsidRPr="00D15774">
              <w:rPr>
                <w:color w:val="000000"/>
                <w:sz w:val="18"/>
                <w:szCs w:val="18"/>
              </w:rPr>
              <w:t xml:space="preserve">requirements, but </w:t>
            </w:r>
            <w:r w:rsidRPr="00D15774">
              <w:rPr>
                <w:color w:val="000000"/>
                <w:sz w:val="18"/>
                <w:szCs w:val="18"/>
              </w:rPr>
              <w:t>Wyom</w:t>
            </w:r>
            <w:r w:rsidR="00DD18DE" w:rsidRPr="00D15774">
              <w:rPr>
                <w:color w:val="000000"/>
                <w:sz w:val="18"/>
                <w:szCs w:val="18"/>
              </w:rPr>
              <w:t>i</w:t>
            </w:r>
            <w:r w:rsidRPr="00D15774">
              <w:rPr>
                <w:color w:val="000000"/>
                <w:sz w:val="18"/>
                <w:szCs w:val="18"/>
              </w:rPr>
              <w:t>ng has adopted NSPS Subpart JJJJ</w:t>
            </w:r>
          </w:p>
        </w:tc>
      </w:tr>
      <w:tr w:rsidR="00DC4B11" w:rsidRPr="00D15774" w:rsidTr="00DC4B11">
        <w:trPr>
          <w:trHeight w:val="1999"/>
        </w:trPr>
        <w:tc>
          <w:tcPr>
            <w:tcW w:w="1584" w:type="dxa"/>
            <w:gridSpan w:val="2"/>
            <w:tcBorders>
              <w:top w:val="nil"/>
              <w:left w:val="single" w:sz="8" w:space="0" w:color="auto"/>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Gas Turbine Engines</w:t>
            </w:r>
            <w:r w:rsidRPr="00D15774">
              <w:rPr>
                <w:color w:val="000000"/>
                <w:sz w:val="18"/>
                <w:szCs w:val="18"/>
              </w:rPr>
              <w:br/>
              <w:t>(typically gas fired compressor or generator engines in O&amp;G)</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b/>
                <w:bCs/>
                <w:color w:val="000000"/>
                <w:sz w:val="18"/>
                <w:szCs w:val="18"/>
                <w:u w:val="single"/>
              </w:rPr>
            </w:pPr>
            <w:r w:rsidRPr="00D15774">
              <w:rPr>
                <w:b/>
                <w:bCs/>
                <w:color w:val="000000"/>
                <w:sz w:val="18"/>
                <w:szCs w:val="18"/>
                <w:u w:val="single"/>
              </w:rPr>
              <w:t>Subpart KKKK</w:t>
            </w:r>
            <w:r w:rsidRPr="00D15774">
              <w:rPr>
                <w:b/>
                <w:bCs/>
                <w:color w:val="000000"/>
                <w:sz w:val="18"/>
                <w:szCs w:val="18"/>
                <w:u w:val="single"/>
              </w:rPr>
              <w:br/>
            </w:r>
            <w:r w:rsidRPr="00D15774">
              <w:rPr>
                <w:color w:val="000000"/>
                <w:sz w:val="18"/>
                <w:szCs w:val="18"/>
              </w:rPr>
              <w:t>parts per million standards for NOx from Gas Turbines</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 xml:space="preserve">No additional state </w:t>
            </w:r>
            <w:r w:rsidR="009336E2" w:rsidRPr="00D15774">
              <w:rPr>
                <w:color w:val="000000"/>
                <w:sz w:val="18"/>
                <w:szCs w:val="18"/>
              </w:rPr>
              <w:t xml:space="preserve">requirements, but </w:t>
            </w:r>
            <w:r w:rsidRPr="00D15774">
              <w:rPr>
                <w:color w:val="000000"/>
                <w:sz w:val="18"/>
                <w:szCs w:val="18"/>
              </w:rPr>
              <w:t>Alaska has adopted NSPS Subpart KKKK</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 xml:space="preserve">No additional state </w:t>
            </w:r>
            <w:r w:rsidR="009336E2" w:rsidRPr="00D15774">
              <w:rPr>
                <w:color w:val="000000"/>
                <w:sz w:val="18"/>
                <w:szCs w:val="18"/>
              </w:rPr>
              <w:t>requirements, but</w:t>
            </w:r>
            <w:r w:rsidRPr="00D15774">
              <w:rPr>
                <w:color w:val="000000"/>
                <w:sz w:val="18"/>
                <w:szCs w:val="18"/>
              </w:rPr>
              <w:t xml:space="preserve"> Colorado has adopted NSPS Subpart KKKK</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 xml:space="preserve">No additional state </w:t>
            </w:r>
            <w:r w:rsidR="009336E2" w:rsidRPr="00D15774">
              <w:rPr>
                <w:color w:val="000000"/>
                <w:sz w:val="18"/>
                <w:szCs w:val="18"/>
              </w:rPr>
              <w:t xml:space="preserve">requirements, but </w:t>
            </w:r>
            <w:r w:rsidRPr="00D15774">
              <w:rPr>
                <w:color w:val="000000"/>
                <w:sz w:val="18"/>
                <w:szCs w:val="18"/>
              </w:rPr>
              <w:t>Montana has adopted NSPS Subpart KKKK</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 xml:space="preserve">No additional state </w:t>
            </w:r>
            <w:r w:rsidR="009336E2" w:rsidRPr="00D15774">
              <w:rPr>
                <w:color w:val="000000"/>
                <w:sz w:val="18"/>
                <w:szCs w:val="18"/>
              </w:rPr>
              <w:t>requirements, but</w:t>
            </w:r>
            <w:r w:rsidRPr="00D15774">
              <w:rPr>
                <w:color w:val="000000"/>
                <w:sz w:val="18"/>
                <w:szCs w:val="18"/>
              </w:rPr>
              <w:t xml:space="preserve"> New Mexico has adopted NSPS Subpart KKKK</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 xml:space="preserve">No additional state </w:t>
            </w:r>
            <w:r w:rsidR="009336E2" w:rsidRPr="00D15774">
              <w:rPr>
                <w:color w:val="000000"/>
                <w:sz w:val="18"/>
                <w:szCs w:val="18"/>
              </w:rPr>
              <w:t>requirements, but</w:t>
            </w:r>
            <w:r w:rsidRPr="00D15774">
              <w:rPr>
                <w:color w:val="000000"/>
                <w:sz w:val="18"/>
                <w:szCs w:val="18"/>
              </w:rPr>
              <w:t xml:space="preserve"> North Dakota has adopted NSPS Subpart KKKK</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9336E2">
            <w:pPr>
              <w:jc w:val="center"/>
              <w:rPr>
                <w:color w:val="000000"/>
                <w:sz w:val="18"/>
                <w:szCs w:val="18"/>
              </w:rPr>
            </w:pPr>
            <w:r w:rsidRPr="00D15774">
              <w:rPr>
                <w:color w:val="000000"/>
                <w:sz w:val="18"/>
                <w:szCs w:val="18"/>
              </w:rPr>
              <w:t xml:space="preserve">No additional state </w:t>
            </w:r>
            <w:r w:rsidR="009336E2" w:rsidRPr="00D15774">
              <w:rPr>
                <w:color w:val="000000"/>
                <w:sz w:val="18"/>
                <w:szCs w:val="18"/>
              </w:rPr>
              <w:t>requirements, but</w:t>
            </w:r>
            <w:r w:rsidRPr="00D15774">
              <w:rPr>
                <w:color w:val="000000"/>
                <w:sz w:val="18"/>
                <w:szCs w:val="18"/>
              </w:rPr>
              <w:t xml:space="preserve"> Utah has adopted NSPS Subpart KKKK</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 xml:space="preserve">No additional state </w:t>
            </w:r>
            <w:r w:rsidR="009336E2" w:rsidRPr="00D15774">
              <w:rPr>
                <w:color w:val="000000"/>
                <w:sz w:val="18"/>
                <w:szCs w:val="18"/>
              </w:rPr>
              <w:t xml:space="preserve">requirements, but </w:t>
            </w:r>
            <w:r w:rsidRPr="00D15774">
              <w:rPr>
                <w:color w:val="000000"/>
                <w:sz w:val="18"/>
                <w:szCs w:val="18"/>
              </w:rPr>
              <w:t>Wyom</w:t>
            </w:r>
            <w:r w:rsidR="00DD18DE" w:rsidRPr="00D15774">
              <w:rPr>
                <w:color w:val="000000"/>
                <w:sz w:val="18"/>
                <w:szCs w:val="18"/>
              </w:rPr>
              <w:t>i</w:t>
            </w:r>
            <w:r w:rsidRPr="00D15774">
              <w:rPr>
                <w:color w:val="000000"/>
                <w:sz w:val="18"/>
                <w:szCs w:val="18"/>
              </w:rPr>
              <w:t>ng has adopted NSPS Subpart KKKK</w:t>
            </w:r>
          </w:p>
        </w:tc>
      </w:tr>
      <w:tr w:rsidR="00F40159" w:rsidRPr="00D15774" w:rsidTr="004B3131">
        <w:trPr>
          <w:trHeight w:val="4777"/>
        </w:trPr>
        <w:tc>
          <w:tcPr>
            <w:tcW w:w="1584" w:type="dxa"/>
            <w:gridSpan w:val="2"/>
            <w:tcBorders>
              <w:top w:val="nil"/>
              <w:left w:val="single" w:sz="8" w:space="0" w:color="auto"/>
              <w:bottom w:val="single" w:sz="8" w:space="0" w:color="auto"/>
              <w:right w:val="single" w:sz="8" w:space="0" w:color="auto"/>
            </w:tcBorders>
            <w:shd w:val="clear" w:color="auto" w:fill="auto"/>
            <w:vAlign w:val="center"/>
          </w:tcPr>
          <w:p w:rsidR="002C23AD" w:rsidRPr="00D15774" w:rsidRDefault="002C23AD" w:rsidP="003E64B1">
            <w:pPr>
              <w:jc w:val="center"/>
              <w:rPr>
                <w:color w:val="000000"/>
                <w:sz w:val="18"/>
                <w:szCs w:val="18"/>
              </w:rPr>
            </w:pPr>
            <w:r w:rsidRPr="00D15774">
              <w:rPr>
                <w:color w:val="000000"/>
                <w:sz w:val="18"/>
                <w:szCs w:val="18"/>
              </w:rPr>
              <w:lastRenderedPageBreak/>
              <w:t>Temporary</w:t>
            </w:r>
          </w:p>
          <w:p w:rsidR="00F40159" w:rsidRPr="00D15774" w:rsidRDefault="00F40159" w:rsidP="00815137">
            <w:pPr>
              <w:jc w:val="center"/>
              <w:rPr>
                <w:color w:val="000000"/>
                <w:sz w:val="18"/>
                <w:szCs w:val="18"/>
              </w:rPr>
            </w:pPr>
            <w:r w:rsidRPr="00D15774">
              <w:rPr>
                <w:color w:val="000000"/>
                <w:sz w:val="18"/>
                <w:szCs w:val="18"/>
              </w:rPr>
              <w:t>Compression Ignition (CI)</w:t>
            </w:r>
            <w:r w:rsidR="00815137" w:rsidRPr="00D15774">
              <w:rPr>
                <w:color w:val="000000"/>
                <w:sz w:val="18"/>
                <w:szCs w:val="18"/>
              </w:rPr>
              <w:t xml:space="preserve"> &amp; Spark Ignition (SI)</w:t>
            </w:r>
            <w:r w:rsidRPr="00D15774">
              <w:rPr>
                <w:color w:val="000000"/>
                <w:sz w:val="18"/>
                <w:szCs w:val="18"/>
              </w:rPr>
              <w:t xml:space="preserve"> Internal Combustion Engines (ICE)</w:t>
            </w:r>
            <w:r w:rsidRPr="00D15774">
              <w:rPr>
                <w:color w:val="000000"/>
                <w:sz w:val="18"/>
                <w:szCs w:val="18"/>
              </w:rPr>
              <w:br/>
              <w:t xml:space="preserve"> (typically drill</w:t>
            </w:r>
            <w:r w:rsidR="00815137" w:rsidRPr="00D15774">
              <w:rPr>
                <w:color w:val="000000"/>
                <w:sz w:val="18"/>
                <w:szCs w:val="18"/>
              </w:rPr>
              <w:t xml:space="preserve"> &amp; workover</w:t>
            </w:r>
            <w:r w:rsidRPr="00D15774">
              <w:rPr>
                <w:color w:val="000000"/>
                <w:sz w:val="18"/>
                <w:szCs w:val="18"/>
              </w:rPr>
              <w:t xml:space="preserve"> rig engines in O&amp;G)</w:t>
            </w:r>
          </w:p>
        </w:tc>
        <w:tc>
          <w:tcPr>
            <w:tcW w:w="1584" w:type="dxa"/>
            <w:tcBorders>
              <w:top w:val="nil"/>
              <w:left w:val="nil"/>
              <w:bottom w:val="single" w:sz="8" w:space="0" w:color="auto"/>
              <w:right w:val="single" w:sz="8" w:space="0" w:color="auto"/>
            </w:tcBorders>
            <w:shd w:val="clear" w:color="auto" w:fill="auto"/>
            <w:vAlign w:val="center"/>
          </w:tcPr>
          <w:p w:rsidR="00F40159" w:rsidRPr="00D15774" w:rsidRDefault="00F40159" w:rsidP="0032045D">
            <w:pPr>
              <w:jc w:val="center"/>
              <w:rPr>
                <w:b/>
                <w:bCs/>
                <w:color w:val="000000"/>
                <w:sz w:val="18"/>
                <w:szCs w:val="18"/>
                <w:u w:val="single"/>
              </w:rPr>
            </w:pPr>
            <w:r w:rsidRPr="00D15774">
              <w:rPr>
                <w:b/>
                <w:bCs/>
                <w:color w:val="000000"/>
                <w:sz w:val="18"/>
                <w:szCs w:val="18"/>
                <w:u w:val="single"/>
              </w:rPr>
              <w:t>Nonroad Mobile Tier Standards</w:t>
            </w:r>
            <w:r w:rsidRPr="00D15774">
              <w:rPr>
                <w:b/>
                <w:bCs/>
                <w:color w:val="000000"/>
                <w:sz w:val="18"/>
                <w:szCs w:val="18"/>
                <w:u w:val="single"/>
              </w:rPr>
              <w:br/>
            </w:r>
            <w:r w:rsidRPr="00D15774">
              <w:rPr>
                <w:color w:val="000000"/>
                <w:sz w:val="18"/>
                <w:szCs w:val="18"/>
              </w:rPr>
              <w:t>grams/</w:t>
            </w:r>
            <w:r w:rsidR="0032045D" w:rsidRPr="00D15774">
              <w:rPr>
                <w:color w:val="000000"/>
                <w:sz w:val="18"/>
                <w:szCs w:val="18"/>
              </w:rPr>
              <w:t>kw</w:t>
            </w:r>
            <w:r w:rsidR="00815137" w:rsidRPr="00D15774">
              <w:rPr>
                <w:color w:val="000000"/>
                <w:sz w:val="18"/>
                <w:szCs w:val="18"/>
              </w:rPr>
              <w:t>-hr standards for NOx for</w:t>
            </w:r>
            <w:r w:rsidRPr="00D15774">
              <w:rPr>
                <w:color w:val="000000"/>
                <w:sz w:val="18"/>
                <w:szCs w:val="18"/>
              </w:rPr>
              <w:t xml:space="preserve"> CI</w:t>
            </w:r>
            <w:r w:rsidR="00815137" w:rsidRPr="00D15774">
              <w:rPr>
                <w:color w:val="000000"/>
                <w:sz w:val="18"/>
                <w:szCs w:val="18"/>
              </w:rPr>
              <w:t xml:space="preserve"> and SI</w:t>
            </w:r>
            <w:r w:rsidRPr="00D15774">
              <w:rPr>
                <w:color w:val="000000"/>
                <w:sz w:val="18"/>
                <w:szCs w:val="18"/>
              </w:rPr>
              <w:t>-ICE</w:t>
            </w:r>
          </w:p>
        </w:tc>
        <w:tc>
          <w:tcPr>
            <w:tcW w:w="1584" w:type="dxa"/>
            <w:tcBorders>
              <w:top w:val="nil"/>
              <w:left w:val="nil"/>
              <w:bottom w:val="single" w:sz="8" w:space="0" w:color="auto"/>
              <w:right w:val="single" w:sz="8" w:space="0" w:color="auto"/>
            </w:tcBorders>
            <w:shd w:val="clear" w:color="auto" w:fill="auto"/>
            <w:vAlign w:val="center"/>
          </w:tcPr>
          <w:p w:rsidR="002C23AD" w:rsidRPr="00D15774" w:rsidRDefault="002C23AD" w:rsidP="003E64B1">
            <w:pPr>
              <w:jc w:val="center"/>
              <w:rPr>
                <w:color w:val="000000"/>
                <w:sz w:val="18"/>
                <w:szCs w:val="18"/>
              </w:rPr>
            </w:pPr>
            <w:r w:rsidRPr="00D15774">
              <w:rPr>
                <w:b/>
                <w:sz w:val="18"/>
                <w:szCs w:val="18"/>
                <w:u w:val="single"/>
                <w:lang w:val="en-CA"/>
              </w:rPr>
              <w:fldChar w:fldCharType="begin"/>
            </w:r>
            <w:r w:rsidRPr="00D15774">
              <w:rPr>
                <w:b/>
                <w:sz w:val="18"/>
                <w:szCs w:val="18"/>
                <w:u w:val="single"/>
                <w:lang w:val="en-CA"/>
              </w:rPr>
              <w:instrText xml:space="preserve"> SEQ CHAPTER \h \r 1</w:instrText>
            </w:r>
            <w:r w:rsidRPr="00D15774">
              <w:rPr>
                <w:b/>
                <w:sz w:val="18"/>
                <w:szCs w:val="18"/>
                <w:u w:val="single"/>
                <w:lang w:val="en-CA"/>
              </w:rPr>
              <w:fldChar w:fldCharType="end"/>
            </w:r>
            <w:r w:rsidRPr="00D15774">
              <w:rPr>
                <w:b/>
                <w:sz w:val="18"/>
                <w:szCs w:val="18"/>
                <w:u w:val="single"/>
              </w:rPr>
              <w:t>18AAC50.502(c)(2</w:t>
            </w:r>
            <w:r w:rsidRPr="00D15774">
              <w:rPr>
                <w:sz w:val="18"/>
                <w:szCs w:val="18"/>
              </w:rPr>
              <w:t>)</w:t>
            </w:r>
          </w:p>
          <w:p w:rsidR="00F40159" w:rsidRPr="00D15774" w:rsidRDefault="002C23AD" w:rsidP="003E64B1">
            <w:pPr>
              <w:jc w:val="center"/>
              <w:rPr>
                <w:color w:val="000000"/>
                <w:sz w:val="18"/>
                <w:szCs w:val="18"/>
              </w:rPr>
            </w:pPr>
            <w:r w:rsidRPr="00D15774">
              <w:rPr>
                <w:color w:val="000000"/>
                <w:sz w:val="18"/>
                <w:szCs w:val="18"/>
              </w:rPr>
              <w:t xml:space="preserve">Requires a minor source permit for temporary portable O&amp;G operations to comply w/ </w:t>
            </w:r>
            <w:r w:rsidR="0017010E" w:rsidRPr="00D15774">
              <w:rPr>
                <w:color w:val="000000"/>
                <w:sz w:val="18"/>
                <w:szCs w:val="18"/>
              </w:rPr>
              <w:t>A</w:t>
            </w:r>
            <w:r w:rsidRPr="00D15774">
              <w:rPr>
                <w:color w:val="000000"/>
                <w:sz w:val="18"/>
                <w:szCs w:val="18"/>
              </w:rPr>
              <w:t>AAQS</w:t>
            </w:r>
          </w:p>
          <w:p w:rsidR="002C23AD" w:rsidRPr="00D15774" w:rsidRDefault="002C23AD" w:rsidP="003E64B1">
            <w:pPr>
              <w:jc w:val="center"/>
              <w:rPr>
                <w:color w:val="000000"/>
                <w:sz w:val="18"/>
                <w:szCs w:val="18"/>
              </w:rPr>
            </w:pPr>
            <w:r w:rsidRPr="00D15774">
              <w:rPr>
                <w:color w:val="000000"/>
                <w:sz w:val="18"/>
                <w:szCs w:val="18"/>
              </w:rPr>
              <w:t>(no BACT)</w:t>
            </w:r>
          </w:p>
          <w:p w:rsidR="00676836" w:rsidRPr="00D15774" w:rsidRDefault="00676836" w:rsidP="003E64B1">
            <w:pPr>
              <w:jc w:val="center"/>
              <w:rPr>
                <w:color w:val="000000"/>
                <w:sz w:val="18"/>
                <w:szCs w:val="18"/>
              </w:rPr>
            </w:pPr>
          </w:p>
          <w:p w:rsidR="00676836" w:rsidRPr="00D15774" w:rsidRDefault="00676836" w:rsidP="003E64B1">
            <w:pPr>
              <w:jc w:val="center"/>
              <w:rPr>
                <w:color w:val="000000"/>
                <w:sz w:val="18"/>
                <w:szCs w:val="18"/>
              </w:rPr>
            </w:pPr>
            <w:r w:rsidRPr="00D15774">
              <w:rPr>
                <w:color w:val="000000"/>
                <w:sz w:val="18"/>
                <w:szCs w:val="18"/>
              </w:rPr>
              <w:t>Nonroad Mobile Tier Standards take precedence</w:t>
            </w:r>
          </w:p>
        </w:tc>
        <w:tc>
          <w:tcPr>
            <w:tcW w:w="1584" w:type="dxa"/>
            <w:tcBorders>
              <w:top w:val="nil"/>
              <w:left w:val="nil"/>
              <w:bottom w:val="single" w:sz="8" w:space="0" w:color="auto"/>
              <w:right w:val="single" w:sz="8" w:space="0" w:color="auto"/>
            </w:tcBorders>
            <w:shd w:val="clear" w:color="auto" w:fill="auto"/>
            <w:vAlign w:val="center"/>
          </w:tcPr>
          <w:p w:rsidR="0017010E" w:rsidRPr="00D15774" w:rsidRDefault="0017010E" w:rsidP="0017010E">
            <w:pPr>
              <w:jc w:val="center"/>
              <w:rPr>
                <w:bCs/>
                <w:color w:val="000000"/>
                <w:sz w:val="18"/>
                <w:szCs w:val="18"/>
              </w:rPr>
            </w:pPr>
            <w:r w:rsidRPr="00D15774">
              <w:rPr>
                <w:b/>
                <w:bCs/>
                <w:color w:val="000000"/>
                <w:sz w:val="18"/>
                <w:szCs w:val="18"/>
                <w:u w:val="single"/>
              </w:rPr>
              <w:t>Reg. 3 Part A, I.B.31</w:t>
            </w:r>
            <w:r w:rsidRPr="00D15774">
              <w:rPr>
                <w:bCs/>
                <w:color w:val="000000"/>
                <w:sz w:val="18"/>
                <w:szCs w:val="18"/>
              </w:rPr>
              <w:t xml:space="preserve"> </w:t>
            </w:r>
          </w:p>
          <w:p w:rsidR="0017010E" w:rsidRPr="00D15774" w:rsidRDefault="0017010E" w:rsidP="00FB4EA3">
            <w:pPr>
              <w:jc w:val="center"/>
              <w:rPr>
                <w:color w:val="000000"/>
                <w:sz w:val="18"/>
                <w:szCs w:val="18"/>
              </w:rPr>
            </w:pPr>
            <w:r w:rsidRPr="00D15774">
              <w:rPr>
                <w:color w:val="000000"/>
                <w:sz w:val="18"/>
                <w:szCs w:val="18"/>
              </w:rPr>
              <w:t xml:space="preserve">Requires Nonroad Engines &gt;1200 HP </w:t>
            </w:r>
            <w:r w:rsidR="00FB4EA3" w:rsidRPr="00D15774">
              <w:rPr>
                <w:color w:val="000000"/>
                <w:sz w:val="18"/>
                <w:szCs w:val="18"/>
              </w:rPr>
              <w:t>operati</w:t>
            </w:r>
            <w:r w:rsidRPr="00D15774">
              <w:rPr>
                <w:color w:val="000000"/>
                <w:sz w:val="18"/>
                <w:szCs w:val="18"/>
              </w:rPr>
              <w:t>n</w:t>
            </w:r>
            <w:r w:rsidR="00FB4EA3" w:rsidRPr="00D15774">
              <w:rPr>
                <w:color w:val="000000"/>
                <w:sz w:val="18"/>
                <w:szCs w:val="18"/>
              </w:rPr>
              <w:t>g &gt;4380 Hr/Yr</w:t>
            </w:r>
            <w:r w:rsidRPr="00D15774">
              <w:rPr>
                <w:color w:val="000000"/>
                <w:sz w:val="18"/>
                <w:szCs w:val="18"/>
              </w:rPr>
              <w:t xml:space="preserve"> </w:t>
            </w:r>
            <w:r w:rsidR="00FB4EA3" w:rsidRPr="00D15774">
              <w:rPr>
                <w:color w:val="000000"/>
                <w:sz w:val="18"/>
                <w:szCs w:val="18"/>
              </w:rPr>
              <w:t xml:space="preserve">w/ 100 TPY NOx (40 TPY @ existing major source) </w:t>
            </w:r>
            <w:r w:rsidRPr="00D15774">
              <w:rPr>
                <w:color w:val="000000"/>
                <w:sz w:val="18"/>
                <w:szCs w:val="18"/>
              </w:rPr>
              <w:t xml:space="preserve">to </w:t>
            </w:r>
            <w:r w:rsidR="00FB4EA3" w:rsidRPr="00D15774">
              <w:rPr>
                <w:color w:val="000000"/>
                <w:sz w:val="18"/>
                <w:szCs w:val="18"/>
              </w:rPr>
              <w:t>obtain a state permit w/ conditions to comply</w:t>
            </w:r>
            <w:r w:rsidRPr="00D15774">
              <w:rPr>
                <w:color w:val="000000"/>
                <w:sz w:val="18"/>
                <w:szCs w:val="18"/>
              </w:rPr>
              <w:t xml:space="preserve"> w/ </w:t>
            </w:r>
            <w:r w:rsidR="00FB4EA3" w:rsidRPr="00D15774">
              <w:rPr>
                <w:color w:val="000000"/>
                <w:sz w:val="18"/>
                <w:szCs w:val="18"/>
              </w:rPr>
              <w:t>C</w:t>
            </w:r>
            <w:r w:rsidRPr="00D15774">
              <w:rPr>
                <w:color w:val="000000"/>
                <w:sz w:val="18"/>
                <w:szCs w:val="18"/>
              </w:rPr>
              <w:t>AAQS</w:t>
            </w:r>
          </w:p>
          <w:p w:rsidR="0017010E" w:rsidRPr="00D15774" w:rsidRDefault="0017010E" w:rsidP="0017010E">
            <w:pPr>
              <w:jc w:val="center"/>
              <w:rPr>
                <w:color w:val="000000"/>
                <w:sz w:val="18"/>
                <w:szCs w:val="18"/>
              </w:rPr>
            </w:pPr>
          </w:p>
          <w:p w:rsidR="00F40159" w:rsidRPr="00D15774" w:rsidRDefault="0017010E" w:rsidP="0017010E">
            <w:pPr>
              <w:jc w:val="center"/>
              <w:rPr>
                <w:color w:val="000000"/>
                <w:sz w:val="18"/>
                <w:szCs w:val="18"/>
              </w:rPr>
            </w:pPr>
            <w:r w:rsidRPr="00D15774">
              <w:rPr>
                <w:color w:val="000000"/>
                <w:sz w:val="18"/>
                <w:szCs w:val="18"/>
              </w:rPr>
              <w:t>Nonroad Mobile Tier Standards take precedence</w:t>
            </w:r>
          </w:p>
        </w:tc>
        <w:tc>
          <w:tcPr>
            <w:tcW w:w="1584" w:type="dxa"/>
            <w:tcBorders>
              <w:top w:val="nil"/>
              <w:left w:val="nil"/>
              <w:bottom w:val="single" w:sz="8" w:space="0" w:color="auto"/>
              <w:right w:val="single" w:sz="8" w:space="0" w:color="auto"/>
            </w:tcBorders>
            <w:shd w:val="clear" w:color="auto" w:fill="auto"/>
            <w:vAlign w:val="center"/>
          </w:tcPr>
          <w:p w:rsidR="00676836" w:rsidRPr="00D15774" w:rsidRDefault="00676836" w:rsidP="00676836">
            <w:pPr>
              <w:jc w:val="center"/>
              <w:rPr>
                <w:color w:val="000000"/>
                <w:sz w:val="18"/>
                <w:szCs w:val="18"/>
              </w:rPr>
            </w:pPr>
            <w:r w:rsidRPr="00D15774">
              <w:rPr>
                <w:color w:val="000000"/>
                <w:sz w:val="18"/>
                <w:szCs w:val="18"/>
              </w:rPr>
              <w:t>Montana has no separate state restrictions for temporary CI</w:t>
            </w:r>
            <w:r w:rsidR="00261C42" w:rsidRPr="00D15774">
              <w:rPr>
                <w:color w:val="000000"/>
                <w:sz w:val="18"/>
                <w:szCs w:val="18"/>
              </w:rPr>
              <w:t xml:space="preserve"> or SI</w:t>
            </w:r>
            <w:r w:rsidRPr="00D15774">
              <w:rPr>
                <w:color w:val="000000"/>
                <w:sz w:val="18"/>
                <w:szCs w:val="18"/>
              </w:rPr>
              <w:t>-ICE</w:t>
            </w:r>
          </w:p>
          <w:p w:rsidR="00676836" w:rsidRPr="00D15774" w:rsidRDefault="00676836" w:rsidP="00676836">
            <w:pPr>
              <w:jc w:val="center"/>
              <w:rPr>
                <w:color w:val="000000"/>
                <w:sz w:val="18"/>
                <w:szCs w:val="18"/>
              </w:rPr>
            </w:pPr>
            <w:r w:rsidRPr="00D15774">
              <w:rPr>
                <w:color w:val="000000"/>
                <w:sz w:val="18"/>
                <w:szCs w:val="18"/>
              </w:rPr>
              <w:t xml:space="preserve"> </w:t>
            </w:r>
          </w:p>
          <w:p w:rsidR="00F40159" w:rsidRPr="00D15774" w:rsidRDefault="00676836" w:rsidP="00676836">
            <w:pPr>
              <w:jc w:val="center"/>
              <w:rPr>
                <w:color w:val="000000"/>
                <w:sz w:val="18"/>
                <w:szCs w:val="18"/>
              </w:rPr>
            </w:pPr>
            <w:r w:rsidRPr="00D15774">
              <w:rPr>
                <w:color w:val="000000"/>
                <w:sz w:val="18"/>
                <w:szCs w:val="18"/>
              </w:rPr>
              <w:t>Nonroad Mobile Tier Standards take precedence</w:t>
            </w:r>
          </w:p>
        </w:tc>
        <w:tc>
          <w:tcPr>
            <w:tcW w:w="1584" w:type="dxa"/>
            <w:tcBorders>
              <w:top w:val="nil"/>
              <w:left w:val="nil"/>
              <w:bottom w:val="single" w:sz="8" w:space="0" w:color="auto"/>
              <w:right w:val="single" w:sz="8" w:space="0" w:color="auto"/>
            </w:tcBorders>
            <w:shd w:val="clear" w:color="auto" w:fill="auto"/>
            <w:vAlign w:val="center"/>
          </w:tcPr>
          <w:p w:rsidR="00723A6A" w:rsidRPr="00D15774" w:rsidRDefault="00723A6A" w:rsidP="00723A6A">
            <w:pPr>
              <w:jc w:val="center"/>
              <w:rPr>
                <w:color w:val="000000"/>
                <w:sz w:val="18"/>
                <w:szCs w:val="18"/>
              </w:rPr>
            </w:pPr>
            <w:r w:rsidRPr="00D15774">
              <w:rPr>
                <w:color w:val="000000"/>
                <w:sz w:val="18"/>
                <w:szCs w:val="18"/>
              </w:rPr>
              <w:t>New Mexico has no separate state restrictions for temporary CI</w:t>
            </w:r>
            <w:r w:rsidR="00261C42" w:rsidRPr="00D15774">
              <w:rPr>
                <w:color w:val="000000"/>
                <w:sz w:val="18"/>
                <w:szCs w:val="18"/>
              </w:rPr>
              <w:t xml:space="preserve"> or SI</w:t>
            </w:r>
            <w:r w:rsidRPr="00D15774">
              <w:rPr>
                <w:color w:val="000000"/>
                <w:sz w:val="18"/>
                <w:szCs w:val="18"/>
              </w:rPr>
              <w:t>-ICE</w:t>
            </w:r>
          </w:p>
          <w:p w:rsidR="00723A6A" w:rsidRPr="00D15774" w:rsidRDefault="00723A6A" w:rsidP="00723A6A">
            <w:pPr>
              <w:jc w:val="center"/>
              <w:rPr>
                <w:color w:val="000000"/>
                <w:sz w:val="18"/>
                <w:szCs w:val="18"/>
              </w:rPr>
            </w:pPr>
            <w:r w:rsidRPr="00D15774">
              <w:rPr>
                <w:color w:val="000000"/>
                <w:sz w:val="18"/>
                <w:szCs w:val="18"/>
              </w:rPr>
              <w:t xml:space="preserve"> </w:t>
            </w:r>
          </w:p>
          <w:p w:rsidR="00F40159" w:rsidRPr="00D15774" w:rsidRDefault="00723A6A" w:rsidP="00723A6A">
            <w:pPr>
              <w:jc w:val="center"/>
              <w:rPr>
                <w:color w:val="000000"/>
                <w:sz w:val="18"/>
                <w:szCs w:val="18"/>
              </w:rPr>
            </w:pPr>
            <w:r w:rsidRPr="00D15774">
              <w:rPr>
                <w:color w:val="000000"/>
                <w:sz w:val="18"/>
                <w:szCs w:val="18"/>
              </w:rPr>
              <w:t>Nonroad Mobile Tier Standards take precedence</w:t>
            </w:r>
          </w:p>
        </w:tc>
        <w:tc>
          <w:tcPr>
            <w:tcW w:w="1584" w:type="dxa"/>
            <w:tcBorders>
              <w:top w:val="nil"/>
              <w:left w:val="nil"/>
              <w:bottom w:val="single" w:sz="8" w:space="0" w:color="auto"/>
              <w:right w:val="single" w:sz="8" w:space="0" w:color="auto"/>
            </w:tcBorders>
            <w:shd w:val="clear" w:color="auto" w:fill="auto"/>
            <w:vAlign w:val="center"/>
          </w:tcPr>
          <w:p w:rsidR="00723A6A" w:rsidRPr="00D15774" w:rsidRDefault="00723A6A" w:rsidP="00723A6A">
            <w:pPr>
              <w:jc w:val="center"/>
              <w:rPr>
                <w:color w:val="000000"/>
                <w:sz w:val="18"/>
                <w:szCs w:val="18"/>
              </w:rPr>
            </w:pPr>
            <w:r w:rsidRPr="00D15774">
              <w:rPr>
                <w:color w:val="000000"/>
                <w:sz w:val="18"/>
                <w:szCs w:val="18"/>
              </w:rPr>
              <w:t>North Dakota has no separate state restrictions for temporary CI</w:t>
            </w:r>
            <w:r w:rsidR="00261C42" w:rsidRPr="00D15774">
              <w:rPr>
                <w:color w:val="000000"/>
                <w:sz w:val="18"/>
                <w:szCs w:val="18"/>
              </w:rPr>
              <w:t xml:space="preserve"> or SI</w:t>
            </w:r>
            <w:r w:rsidRPr="00D15774">
              <w:rPr>
                <w:color w:val="000000"/>
                <w:sz w:val="18"/>
                <w:szCs w:val="18"/>
              </w:rPr>
              <w:t>-ICE</w:t>
            </w:r>
          </w:p>
          <w:p w:rsidR="00723A6A" w:rsidRPr="00D15774" w:rsidRDefault="00723A6A" w:rsidP="00723A6A">
            <w:pPr>
              <w:jc w:val="center"/>
              <w:rPr>
                <w:color w:val="000000"/>
                <w:sz w:val="18"/>
                <w:szCs w:val="18"/>
              </w:rPr>
            </w:pPr>
            <w:r w:rsidRPr="00D15774">
              <w:rPr>
                <w:color w:val="000000"/>
                <w:sz w:val="18"/>
                <w:szCs w:val="18"/>
              </w:rPr>
              <w:t xml:space="preserve"> </w:t>
            </w:r>
          </w:p>
          <w:p w:rsidR="00F40159" w:rsidRPr="00D15774" w:rsidRDefault="00723A6A" w:rsidP="00723A6A">
            <w:pPr>
              <w:jc w:val="center"/>
              <w:rPr>
                <w:color w:val="000000"/>
                <w:sz w:val="18"/>
                <w:szCs w:val="18"/>
              </w:rPr>
            </w:pPr>
            <w:r w:rsidRPr="00D15774">
              <w:rPr>
                <w:color w:val="000000"/>
                <w:sz w:val="18"/>
                <w:szCs w:val="18"/>
              </w:rPr>
              <w:t>Nonroad Mobile Tier Standards take precedence</w:t>
            </w:r>
          </w:p>
        </w:tc>
        <w:tc>
          <w:tcPr>
            <w:tcW w:w="1584" w:type="dxa"/>
            <w:tcBorders>
              <w:top w:val="nil"/>
              <w:left w:val="nil"/>
              <w:bottom w:val="single" w:sz="8" w:space="0" w:color="auto"/>
              <w:right w:val="single" w:sz="8" w:space="0" w:color="auto"/>
            </w:tcBorders>
            <w:shd w:val="clear" w:color="auto" w:fill="auto"/>
            <w:vAlign w:val="center"/>
          </w:tcPr>
          <w:p w:rsidR="00723A6A" w:rsidRPr="00D15774" w:rsidRDefault="00723A6A" w:rsidP="00723A6A">
            <w:pPr>
              <w:jc w:val="center"/>
              <w:rPr>
                <w:color w:val="000000"/>
                <w:sz w:val="18"/>
                <w:szCs w:val="18"/>
              </w:rPr>
            </w:pPr>
            <w:r w:rsidRPr="00D15774">
              <w:rPr>
                <w:color w:val="000000"/>
                <w:sz w:val="18"/>
                <w:szCs w:val="18"/>
              </w:rPr>
              <w:t>Utah has no separate state restrictions for temporary CI</w:t>
            </w:r>
            <w:r w:rsidR="00261C42" w:rsidRPr="00D15774">
              <w:rPr>
                <w:color w:val="000000"/>
                <w:sz w:val="18"/>
                <w:szCs w:val="18"/>
              </w:rPr>
              <w:t xml:space="preserve"> or SI</w:t>
            </w:r>
            <w:r w:rsidRPr="00D15774">
              <w:rPr>
                <w:color w:val="000000"/>
                <w:sz w:val="18"/>
                <w:szCs w:val="18"/>
              </w:rPr>
              <w:t>-ICE</w:t>
            </w:r>
          </w:p>
          <w:p w:rsidR="00723A6A" w:rsidRPr="00D15774" w:rsidRDefault="00723A6A" w:rsidP="00723A6A">
            <w:pPr>
              <w:jc w:val="center"/>
              <w:rPr>
                <w:color w:val="000000"/>
                <w:sz w:val="18"/>
                <w:szCs w:val="18"/>
              </w:rPr>
            </w:pPr>
            <w:r w:rsidRPr="00D15774">
              <w:rPr>
                <w:color w:val="000000"/>
                <w:sz w:val="18"/>
                <w:szCs w:val="18"/>
              </w:rPr>
              <w:t xml:space="preserve"> </w:t>
            </w:r>
          </w:p>
          <w:p w:rsidR="00F40159" w:rsidRPr="00D15774" w:rsidRDefault="00723A6A" w:rsidP="00723A6A">
            <w:pPr>
              <w:jc w:val="center"/>
              <w:rPr>
                <w:color w:val="000000"/>
                <w:sz w:val="18"/>
                <w:szCs w:val="18"/>
              </w:rPr>
            </w:pPr>
            <w:r w:rsidRPr="00D15774">
              <w:rPr>
                <w:color w:val="000000"/>
                <w:sz w:val="18"/>
                <w:szCs w:val="18"/>
              </w:rPr>
              <w:t>Nonroad Mobile Tier Standards take precedence</w:t>
            </w:r>
          </w:p>
        </w:tc>
        <w:tc>
          <w:tcPr>
            <w:tcW w:w="1584" w:type="dxa"/>
            <w:tcBorders>
              <w:top w:val="nil"/>
              <w:left w:val="nil"/>
              <w:bottom w:val="single" w:sz="8" w:space="0" w:color="auto"/>
              <w:right w:val="single" w:sz="8" w:space="0" w:color="auto"/>
            </w:tcBorders>
            <w:shd w:val="clear" w:color="auto" w:fill="auto"/>
            <w:vAlign w:val="center"/>
          </w:tcPr>
          <w:p w:rsidR="004B3131" w:rsidRPr="00D15774" w:rsidRDefault="004B3131" w:rsidP="004B3131">
            <w:pPr>
              <w:jc w:val="center"/>
              <w:rPr>
                <w:color w:val="000000"/>
                <w:sz w:val="18"/>
                <w:szCs w:val="18"/>
              </w:rPr>
            </w:pPr>
            <w:r w:rsidRPr="00D15774">
              <w:rPr>
                <w:color w:val="000000"/>
                <w:sz w:val="18"/>
                <w:szCs w:val="18"/>
              </w:rPr>
              <w:t>Wyoming has no separate state restrictions for temporary CI</w:t>
            </w:r>
            <w:r w:rsidR="00261C42" w:rsidRPr="00D15774">
              <w:rPr>
                <w:color w:val="000000"/>
                <w:sz w:val="18"/>
                <w:szCs w:val="18"/>
              </w:rPr>
              <w:t xml:space="preserve"> or SI</w:t>
            </w:r>
            <w:r w:rsidRPr="00D15774">
              <w:rPr>
                <w:color w:val="000000"/>
                <w:sz w:val="18"/>
                <w:szCs w:val="18"/>
              </w:rPr>
              <w:t>-ICE</w:t>
            </w:r>
          </w:p>
          <w:p w:rsidR="004B3131" w:rsidRPr="00D15774" w:rsidRDefault="004B3131" w:rsidP="004B3131">
            <w:pPr>
              <w:jc w:val="center"/>
              <w:rPr>
                <w:color w:val="000000"/>
                <w:sz w:val="18"/>
                <w:szCs w:val="18"/>
              </w:rPr>
            </w:pPr>
            <w:r w:rsidRPr="00D15774">
              <w:rPr>
                <w:color w:val="000000"/>
                <w:sz w:val="18"/>
                <w:szCs w:val="18"/>
              </w:rPr>
              <w:t xml:space="preserve"> </w:t>
            </w:r>
          </w:p>
          <w:p w:rsidR="00F40159" w:rsidRPr="00D15774" w:rsidRDefault="004B3131" w:rsidP="004B3131">
            <w:pPr>
              <w:jc w:val="center"/>
              <w:rPr>
                <w:color w:val="000000"/>
                <w:sz w:val="18"/>
                <w:szCs w:val="18"/>
              </w:rPr>
            </w:pPr>
            <w:r w:rsidRPr="00D15774">
              <w:rPr>
                <w:color w:val="000000"/>
                <w:sz w:val="18"/>
                <w:szCs w:val="18"/>
              </w:rPr>
              <w:t>Nonroad Mobile Tier Standards take precedence</w:t>
            </w:r>
          </w:p>
          <w:p w:rsidR="004B3131" w:rsidRPr="00D15774" w:rsidRDefault="004B3131" w:rsidP="004B3131">
            <w:pPr>
              <w:jc w:val="center"/>
              <w:rPr>
                <w:color w:val="000000"/>
                <w:sz w:val="18"/>
                <w:szCs w:val="18"/>
              </w:rPr>
            </w:pPr>
          </w:p>
          <w:p w:rsidR="004B3131" w:rsidRPr="00D15774" w:rsidRDefault="004B3131" w:rsidP="004B3131">
            <w:pPr>
              <w:jc w:val="center"/>
              <w:rPr>
                <w:color w:val="000000"/>
                <w:sz w:val="18"/>
                <w:szCs w:val="18"/>
              </w:rPr>
            </w:pPr>
            <w:r w:rsidRPr="00D15774">
              <w:rPr>
                <w:color w:val="000000"/>
                <w:sz w:val="18"/>
                <w:szCs w:val="18"/>
              </w:rPr>
              <w:t xml:space="preserve">Wyoming has an Interim Policy for the </w:t>
            </w:r>
            <w:r w:rsidRPr="00D15774">
              <w:rPr>
                <w:b/>
                <w:color w:val="000000"/>
                <w:sz w:val="18"/>
                <w:szCs w:val="18"/>
                <w:u w:val="single"/>
              </w:rPr>
              <w:t>GRB Ozone Non-Attai</w:t>
            </w:r>
            <w:r w:rsidR="001E7927" w:rsidRPr="00D15774">
              <w:rPr>
                <w:b/>
                <w:color w:val="000000"/>
                <w:sz w:val="18"/>
                <w:szCs w:val="18"/>
                <w:u w:val="single"/>
              </w:rPr>
              <w:t>n</w:t>
            </w:r>
            <w:r w:rsidRPr="00D15774">
              <w:rPr>
                <w:b/>
                <w:color w:val="000000"/>
                <w:sz w:val="18"/>
                <w:szCs w:val="18"/>
                <w:u w:val="single"/>
              </w:rPr>
              <w:t>ment area</w:t>
            </w:r>
            <w:r w:rsidRPr="00D15774">
              <w:rPr>
                <w:color w:val="000000"/>
                <w:sz w:val="18"/>
                <w:szCs w:val="18"/>
              </w:rPr>
              <w:t xml:space="preserve"> allowing operators to voluntarily permit temporary drill rig engines w/ BACT control in return for future emission credits.</w:t>
            </w:r>
          </w:p>
        </w:tc>
      </w:tr>
      <w:tr w:rsidR="00DC4B11" w:rsidRPr="00D15774" w:rsidTr="002A0B58">
        <w:trPr>
          <w:trHeight w:val="3040"/>
        </w:trPr>
        <w:tc>
          <w:tcPr>
            <w:tcW w:w="1584" w:type="dxa"/>
            <w:gridSpan w:val="2"/>
            <w:tcBorders>
              <w:top w:val="nil"/>
              <w:left w:val="single" w:sz="8" w:space="0" w:color="auto"/>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Point Source Permitting Threshold</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100 TPY</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Sources &gt; 100 TPY permitting threshold undergo BACT analysis</w:t>
            </w:r>
            <w:r w:rsidRPr="00D15774">
              <w:rPr>
                <w:color w:val="000000"/>
                <w:sz w:val="18"/>
                <w:szCs w:val="18"/>
              </w:rPr>
              <w:br/>
              <w:t>The Minor Permit program in AK does not require NOX emission controls.  If the source has a PSD permit, BACT controls are required</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Colorado has a 10 TPY permitting threshold (5 TPY in non-attainment areas) but sources don't undergo BACT analysis unless the source reaches PSD emission levels.</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FB4EA3" w:rsidP="006941BC">
            <w:pPr>
              <w:jc w:val="center"/>
              <w:rPr>
                <w:color w:val="000000"/>
                <w:sz w:val="18"/>
                <w:szCs w:val="18"/>
              </w:rPr>
            </w:pPr>
            <w:r w:rsidRPr="00D15774">
              <w:rPr>
                <w:color w:val="000000"/>
                <w:sz w:val="18"/>
                <w:szCs w:val="18"/>
              </w:rPr>
              <w:t>Montana</w:t>
            </w:r>
            <w:r w:rsidR="003E64B1" w:rsidRPr="00D15774">
              <w:rPr>
                <w:color w:val="000000"/>
                <w:sz w:val="18"/>
                <w:szCs w:val="18"/>
              </w:rPr>
              <w:t xml:space="preserve"> has a </w:t>
            </w:r>
            <w:r w:rsidR="00891B36" w:rsidRPr="00D15774">
              <w:rPr>
                <w:color w:val="000000"/>
                <w:sz w:val="18"/>
                <w:szCs w:val="18"/>
              </w:rPr>
              <w:t>permit</w:t>
            </w:r>
            <w:r w:rsidR="00891B36">
              <w:rPr>
                <w:color w:val="000000"/>
                <w:sz w:val="18"/>
                <w:szCs w:val="18"/>
              </w:rPr>
              <w:t>/</w:t>
            </w:r>
            <w:r w:rsidR="00A76AEF">
              <w:rPr>
                <w:color w:val="000000"/>
                <w:sz w:val="18"/>
                <w:szCs w:val="18"/>
              </w:rPr>
              <w:t>registration</w:t>
            </w:r>
            <w:r w:rsidR="003E64B1" w:rsidRPr="00D15774">
              <w:rPr>
                <w:color w:val="000000"/>
                <w:sz w:val="18"/>
                <w:szCs w:val="18"/>
              </w:rPr>
              <w:t xml:space="preserve"> threshold</w:t>
            </w:r>
            <w:r w:rsidR="00A76AEF">
              <w:rPr>
                <w:color w:val="000000"/>
                <w:sz w:val="18"/>
                <w:szCs w:val="18"/>
              </w:rPr>
              <w:t xml:space="preserve"> of &gt;</w:t>
            </w:r>
            <w:r w:rsidR="00A76AEF" w:rsidRPr="00D15774">
              <w:rPr>
                <w:color w:val="000000"/>
                <w:sz w:val="18"/>
                <w:szCs w:val="18"/>
              </w:rPr>
              <w:t>25 TPY</w:t>
            </w:r>
            <w:r w:rsidR="003E4727">
              <w:rPr>
                <w:color w:val="000000"/>
                <w:sz w:val="18"/>
                <w:szCs w:val="18"/>
              </w:rPr>
              <w:t>.  R</w:t>
            </w:r>
            <w:r w:rsidR="00A76AEF">
              <w:rPr>
                <w:color w:val="000000"/>
                <w:sz w:val="18"/>
                <w:szCs w:val="18"/>
              </w:rPr>
              <w:t>egistration</w:t>
            </w:r>
            <w:r w:rsidR="003E64B1" w:rsidRPr="00D15774">
              <w:rPr>
                <w:color w:val="000000"/>
                <w:sz w:val="18"/>
                <w:szCs w:val="18"/>
              </w:rPr>
              <w:t xml:space="preserve"> </w:t>
            </w:r>
            <w:r w:rsidR="003E4727">
              <w:rPr>
                <w:color w:val="000000"/>
                <w:sz w:val="18"/>
                <w:szCs w:val="18"/>
              </w:rPr>
              <w:t xml:space="preserve">rules </w:t>
            </w:r>
            <w:r w:rsidR="00A76AEF">
              <w:rPr>
                <w:color w:val="000000"/>
                <w:sz w:val="18"/>
                <w:szCs w:val="18"/>
              </w:rPr>
              <w:t>incorporate BACT</w:t>
            </w:r>
            <w:r w:rsidR="003E64B1" w:rsidRPr="00D15774">
              <w:rPr>
                <w:color w:val="000000"/>
                <w:sz w:val="18"/>
                <w:szCs w:val="18"/>
              </w:rPr>
              <w:t xml:space="preserve"> </w:t>
            </w:r>
            <w:r w:rsidR="003E4727">
              <w:rPr>
                <w:color w:val="000000"/>
                <w:sz w:val="18"/>
                <w:szCs w:val="18"/>
              </w:rPr>
              <w:t xml:space="preserve">during O&amp;G </w:t>
            </w:r>
            <w:r w:rsidR="00891B36">
              <w:rPr>
                <w:color w:val="000000"/>
                <w:sz w:val="18"/>
                <w:szCs w:val="18"/>
              </w:rPr>
              <w:t>facility</w:t>
            </w:r>
            <w:r w:rsidR="003E4727">
              <w:rPr>
                <w:color w:val="000000"/>
                <w:sz w:val="18"/>
                <w:szCs w:val="18"/>
              </w:rPr>
              <w:t xml:space="preserve"> development &amp; permitted sources undergo</w:t>
            </w:r>
            <w:r w:rsidR="003E64B1" w:rsidRPr="00D15774">
              <w:rPr>
                <w:color w:val="000000"/>
                <w:sz w:val="18"/>
                <w:szCs w:val="18"/>
              </w:rPr>
              <w:t xml:space="preserve"> </w:t>
            </w:r>
            <w:r w:rsidR="003E4727">
              <w:rPr>
                <w:color w:val="000000"/>
                <w:sz w:val="18"/>
                <w:szCs w:val="18"/>
              </w:rPr>
              <w:t>case by case BACT analysis</w:t>
            </w:r>
            <w:r w:rsidR="003E64B1" w:rsidRPr="00D15774">
              <w:rPr>
                <w:color w:val="000000"/>
                <w:sz w:val="18"/>
                <w:szCs w:val="18"/>
              </w:rPr>
              <w:t>.</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Sources &gt; 25 TPY permitting threshold undergo BACT analysis</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Sources &gt; 100 TPY permitting threshold undergo BACT analysis</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Sources &gt; 5 TPY permitting threshold undergo BACT analysis</w:t>
            </w:r>
          </w:p>
        </w:tc>
        <w:tc>
          <w:tcPr>
            <w:tcW w:w="1584" w:type="dxa"/>
            <w:tcBorders>
              <w:top w:val="nil"/>
              <w:left w:val="nil"/>
              <w:bottom w:val="single" w:sz="8" w:space="0" w:color="auto"/>
              <w:right w:val="single" w:sz="8" w:space="0" w:color="auto"/>
            </w:tcBorders>
            <w:shd w:val="clear" w:color="auto" w:fill="auto"/>
            <w:vAlign w:val="center"/>
            <w:hideMark/>
          </w:tcPr>
          <w:p w:rsidR="003E64B1" w:rsidRPr="00D15774" w:rsidRDefault="003E64B1" w:rsidP="003E64B1">
            <w:pPr>
              <w:jc w:val="center"/>
              <w:rPr>
                <w:color w:val="000000"/>
                <w:sz w:val="18"/>
                <w:szCs w:val="18"/>
              </w:rPr>
            </w:pPr>
            <w:r w:rsidRPr="00D15774">
              <w:rPr>
                <w:color w:val="000000"/>
                <w:sz w:val="18"/>
                <w:szCs w:val="18"/>
              </w:rPr>
              <w:t>Wyoming has no de minimus permi</w:t>
            </w:r>
            <w:r w:rsidR="00F04B5E" w:rsidRPr="00D15774">
              <w:rPr>
                <w:color w:val="000000"/>
                <w:sz w:val="18"/>
                <w:szCs w:val="18"/>
              </w:rPr>
              <w:t>t</w:t>
            </w:r>
            <w:r w:rsidRPr="00D15774">
              <w:rPr>
                <w:color w:val="000000"/>
                <w:sz w:val="18"/>
                <w:szCs w:val="18"/>
              </w:rPr>
              <w:t xml:space="preserve">ting threshold outside of their </w:t>
            </w:r>
            <w:r w:rsidRPr="00D15774">
              <w:rPr>
                <w:b/>
                <w:bCs/>
                <w:color w:val="000000"/>
                <w:sz w:val="18"/>
                <w:szCs w:val="18"/>
                <w:u w:val="single"/>
              </w:rPr>
              <w:t>C6 S2(k)</w:t>
            </w:r>
            <w:r w:rsidRPr="00D15774">
              <w:rPr>
                <w:color w:val="000000"/>
                <w:sz w:val="18"/>
                <w:szCs w:val="18"/>
              </w:rPr>
              <w:t xml:space="preserve"> exemptions, thus all sources not waived by the Administrator are permitted and undergo BACT analysis </w:t>
            </w:r>
          </w:p>
        </w:tc>
      </w:tr>
    </w:tbl>
    <w:p w:rsidR="003E64B1" w:rsidRPr="00D15774" w:rsidRDefault="003E64B1" w:rsidP="003E64B1">
      <w:pPr>
        <w:rPr>
          <w:color w:val="000000"/>
          <w:szCs w:val="24"/>
        </w:rPr>
        <w:sectPr w:rsidR="003E64B1" w:rsidRPr="00D15774" w:rsidSect="00115125">
          <w:headerReference w:type="even" r:id="rId25"/>
          <w:headerReference w:type="default" r:id="rId26"/>
          <w:footerReference w:type="even" r:id="rId27"/>
          <w:footerReference w:type="default" r:id="rId28"/>
          <w:pgSz w:w="15840" w:h="12240" w:orient="landscape"/>
          <w:pgMar w:top="1440" w:right="720" w:bottom="540" w:left="720" w:header="720" w:footer="720" w:gutter="0"/>
          <w:cols w:space="720"/>
          <w:docGrid w:linePitch="326"/>
        </w:sectPr>
      </w:pPr>
    </w:p>
    <w:p w:rsidR="008A07D5" w:rsidRPr="00B26379" w:rsidRDefault="00B86A53" w:rsidP="00B86A53">
      <w:pPr>
        <w:widowControl w:val="0"/>
        <w:spacing w:line="300" w:lineRule="auto"/>
        <w:rPr>
          <w:rStyle w:val="Heading3Char"/>
          <w:rFonts w:ascii="Times New Roman" w:hAnsi="Times New Roman" w:cs="Times New Roman"/>
          <w:u w:val="single"/>
        </w:rPr>
      </w:pPr>
      <w:bookmarkStart w:id="48" w:name="_Toc369087003"/>
      <w:r w:rsidRPr="00B26379">
        <w:rPr>
          <w:rStyle w:val="Heading3Char"/>
          <w:rFonts w:ascii="Times New Roman" w:hAnsi="Times New Roman" w:cs="Times New Roman"/>
          <w:u w:val="single"/>
        </w:rPr>
        <w:lastRenderedPageBreak/>
        <w:t>Alaska</w:t>
      </w:r>
      <w:bookmarkEnd w:id="48"/>
    </w:p>
    <w:p w:rsidR="00B86A53" w:rsidRPr="00D15774" w:rsidRDefault="00E21C92" w:rsidP="00B86A53">
      <w:pPr>
        <w:widowControl w:val="0"/>
        <w:spacing w:line="300" w:lineRule="auto"/>
      </w:pPr>
      <w:r w:rsidRPr="00D15774">
        <w:fldChar w:fldCharType="begin"/>
      </w:r>
      <w:r w:rsidR="00B86A53" w:rsidRPr="00D15774">
        <w:rPr>
          <w:b/>
          <w:u w:val="single"/>
        </w:rPr>
        <w:instrText xml:space="preserve"> TC \l3 "</w:instrText>
      </w:r>
      <w:bookmarkStart w:id="49" w:name="_Toc363192326"/>
      <w:r w:rsidR="00B86A53" w:rsidRPr="00D15774">
        <w:rPr>
          <w:b/>
          <w:u w:val="single"/>
        </w:rPr>
        <w:instrText>Alaska</w:instrText>
      </w:r>
      <w:bookmarkEnd w:id="49"/>
      <w:r w:rsidRPr="00D15774">
        <w:fldChar w:fldCharType="end"/>
      </w:r>
      <w:r w:rsidR="00B86A53" w:rsidRPr="00D15774">
        <w:t xml:space="preserve">The Alaska Department </w:t>
      </w:r>
      <w:r w:rsidR="0099797E" w:rsidRPr="00D15774">
        <w:t>E</w:t>
      </w:r>
      <w:r w:rsidR="001B754B" w:rsidRPr="00D15774">
        <w:t>nviron</w:t>
      </w:r>
      <w:r w:rsidR="00B86A53" w:rsidRPr="00D15774">
        <w:t xml:space="preserve">mental Conservation (DEC) has adopted no regulations comparable to the </w:t>
      </w:r>
      <w:r w:rsidR="00956808" w:rsidRPr="00D15774">
        <w:t>federal</w:t>
      </w:r>
      <w:r w:rsidR="00B86A53" w:rsidRPr="00D15774">
        <w:t xml:space="preserve"> NSPS Subpart OOOO for VOC emissions from O&amp;G operations, with the exception that Alaska, like all WRAP </w:t>
      </w:r>
      <w:r w:rsidR="0059687A" w:rsidRPr="00D15774">
        <w:t xml:space="preserve">region </w:t>
      </w:r>
      <w:r w:rsidR="00B86A53" w:rsidRPr="00D15774">
        <w:t xml:space="preserve">O&amp;G states surveyed, has adopted NSPS Subpart KKK regulations for Leak Detection and Repair (LDAR) at gas plants.  </w:t>
      </w:r>
      <w:r w:rsidR="0059687A" w:rsidRPr="00D15774">
        <w:t>However</w:t>
      </w:r>
      <w:r w:rsidR="00D52A77" w:rsidRPr="00D15774">
        <w:t xml:space="preserve"> none of the states </w:t>
      </w:r>
      <w:r w:rsidR="00173043" w:rsidRPr="00D15774">
        <w:t xml:space="preserve">have the 500 ppm </w:t>
      </w:r>
      <w:r w:rsidR="0043445C" w:rsidRPr="00D15774">
        <w:t xml:space="preserve">VOC </w:t>
      </w:r>
      <w:r w:rsidR="00173043" w:rsidRPr="00D15774">
        <w:t>leak threshold required</w:t>
      </w:r>
      <w:r w:rsidR="00D52A77" w:rsidRPr="00D15774">
        <w:t xml:space="preserve"> under Subpart OOOO</w:t>
      </w:r>
      <w:r w:rsidR="00AA20CE" w:rsidRPr="00D15774">
        <w:t xml:space="preserve">.  </w:t>
      </w:r>
      <w:r w:rsidR="00E45BF9" w:rsidRPr="00D15774">
        <w:t>Alaska does not consider or include VOC/HAP emissions/controls in their</w:t>
      </w:r>
      <w:r w:rsidR="00B86A53" w:rsidRPr="00D15774">
        <w:t xml:space="preserve"> minor source permit</w:t>
      </w:r>
      <w:r w:rsidR="00E45BF9" w:rsidRPr="00D15774">
        <w:t xml:space="preserve"> program, nor do they require reiteration of </w:t>
      </w:r>
      <w:r w:rsidR="004D1D0A" w:rsidRPr="00D15774">
        <w:t>the</w:t>
      </w:r>
      <w:r w:rsidR="00E45BF9" w:rsidRPr="00D15774">
        <w:t xml:space="preserve"> applicable NSPS/NESHAP obligations in their minor source permits</w:t>
      </w:r>
      <w:r w:rsidR="00B86A53" w:rsidRPr="00D15774">
        <w:t>.</w:t>
      </w:r>
      <w:r w:rsidR="003A78E5" w:rsidRPr="00D15774">
        <w:t xml:space="preserve">  Their minor source permitting program does not apply in Indian Country.</w:t>
      </w:r>
    </w:p>
    <w:p w:rsidR="00AA20CE" w:rsidRPr="00D15774" w:rsidRDefault="00AA20CE" w:rsidP="00B86A53">
      <w:pPr>
        <w:widowControl w:val="0"/>
        <w:spacing w:line="300" w:lineRule="auto"/>
      </w:pPr>
    </w:p>
    <w:p w:rsidR="00B86A53" w:rsidRPr="00D15774" w:rsidRDefault="00AA20CE" w:rsidP="00B86A53">
      <w:pPr>
        <w:widowControl w:val="0"/>
        <w:spacing w:line="300" w:lineRule="auto"/>
      </w:pPr>
      <w:r w:rsidRPr="00D15774">
        <w:t xml:space="preserve">Regarding NOx, Alaska has adopted the combustion control NSPS standards (boiler Subparts Db and Dc, engine/turbine Subparts IIII, JJJJ and KKKK).  The state’s </w:t>
      </w:r>
      <w:r w:rsidR="00177A8D" w:rsidRPr="00D15774">
        <w:t xml:space="preserve">major source </w:t>
      </w:r>
      <w:r w:rsidRPr="00D15774">
        <w:t xml:space="preserve">permitting threshold for that pollutant is 100 TPY, </w:t>
      </w:r>
      <w:r w:rsidR="007F7BF6" w:rsidRPr="00D15774">
        <w:t>so</w:t>
      </w:r>
      <w:r w:rsidRPr="00D15774">
        <w:t xml:space="preserve"> minor sources under that threshold do not undergo a BACT review.</w:t>
      </w:r>
      <w:r w:rsidR="007F7BF6" w:rsidRPr="00D15774">
        <w:t xml:space="preserve"> </w:t>
      </w:r>
      <w:r w:rsidRPr="00D15774">
        <w:t xml:space="preserve"> And as with other pollutants, Alaska does not consider or include NOx emissions/controls </w:t>
      </w:r>
      <w:r w:rsidR="007F7BF6" w:rsidRPr="00D15774">
        <w:t>for</w:t>
      </w:r>
      <w:r w:rsidRPr="00D15774">
        <w:t xml:space="preserve"> their minor source</w:t>
      </w:r>
      <w:r w:rsidR="007F7BF6" w:rsidRPr="00D15774">
        <w:t>s,</w:t>
      </w:r>
      <w:r w:rsidRPr="00D15774">
        <w:t xml:space="preserve"> nor do they require reiteration of the applicable NSPS/ NESHAP obligations in their minor source permits.</w:t>
      </w:r>
      <w:r w:rsidR="007F7BF6" w:rsidRPr="00D15774">
        <w:t xml:space="preserve">  Regarding major sources although the NSPS represent the ceiling for NOx limits in major source permits, BACT may drive emissions lower if review shows controls to be technically feasible and economically reasonable.</w:t>
      </w:r>
    </w:p>
    <w:p w:rsidR="00177A8D" w:rsidRPr="00D15774" w:rsidRDefault="00177A8D" w:rsidP="00177A8D">
      <w:pPr>
        <w:widowControl w:val="0"/>
        <w:spacing w:line="300" w:lineRule="auto"/>
        <w:rPr>
          <w:szCs w:val="24"/>
        </w:rPr>
      </w:pPr>
    </w:p>
    <w:p w:rsidR="0098006D" w:rsidRPr="00D15774" w:rsidRDefault="00177A8D" w:rsidP="0098006D">
      <w:pPr>
        <w:widowControl w:val="0"/>
        <w:spacing w:line="300" w:lineRule="auto"/>
        <w:rPr>
          <w:color w:val="000000"/>
          <w:szCs w:val="24"/>
        </w:rPr>
      </w:pPr>
      <w:r w:rsidRPr="00D15774">
        <w:rPr>
          <w:szCs w:val="24"/>
          <w:lang w:val="en-CA"/>
        </w:rPr>
        <w:t>Regarding Nonroad Mobile Sources, the federal</w:t>
      </w:r>
      <w:r w:rsidRPr="00D15774">
        <w:rPr>
          <w:color w:val="000000"/>
          <w:szCs w:val="24"/>
        </w:rPr>
        <w:t xml:space="preserve"> Tier Standards take precedence.  Alaska does have a regulation </w:t>
      </w:r>
      <w:r w:rsidR="00674846" w:rsidRPr="00D15774">
        <w:rPr>
          <w:color w:val="000000"/>
          <w:szCs w:val="24"/>
        </w:rPr>
        <w:t xml:space="preserve">[ </w:t>
      </w:r>
      <w:r w:rsidRPr="00D15774">
        <w:rPr>
          <w:b/>
          <w:szCs w:val="24"/>
          <w:u w:val="single"/>
          <w:lang w:val="en-CA"/>
        </w:rPr>
        <w:fldChar w:fldCharType="begin"/>
      </w:r>
      <w:r w:rsidRPr="00D15774">
        <w:rPr>
          <w:b/>
          <w:szCs w:val="24"/>
          <w:u w:val="single"/>
          <w:lang w:val="en-CA"/>
        </w:rPr>
        <w:instrText xml:space="preserve"> SEQ CHAPTER \h \r 1</w:instrText>
      </w:r>
      <w:r w:rsidRPr="00D15774">
        <w:rPr>
          <w:b/>
          <w:szCs w:val="24"/>
          <w:u w:val="single"/>
          <w:lang w:val="en-CA"/>
        </w:rPr>
        <w:fldChar w:fldCharType="end"/>
      </w:r>
      <w:r w:rsidRPr="00D15774">
        <w:rPr>
          <w:b/>
          <w:szCs w:val="24"/>
          <w:u w:val="single"/>
        </w:rPr>
        <w:t>18AAC50.502(c)(2</w:t>
      </w:r>
      <w:r w:rsidRPr="00D15774">
        <w:rPr>
          <w:szCs w:val="24"/>
        </w:rPr>
        <w:t>)</w:t>
      </w:r>
      <w:r w:rsidR="00674846" w:rsidRPr="00D15774">
        <w:rPr>
          <w:szCs w:val="24"/>
        </w:rPr>
        <w:t xml:space="preserve"> ] which requires </w:t>
      </w:r>
      <w:r w:rsidRPr="00D15774">
        <w:rPr>
          <w:color w:val="000000"/>
          <w:szCs w:val="24"/>
        </w:rPr>
        <w:t>a minor source permit for temporary portable O&amp;G operations</w:t>
      </w:r>
      <w:r w:rsidR="00674846" w:rsidRPr="00D15774">
        <w:rPr>
          <w:color w:val="000000"/>
          <w:szCs w:val="24"/>
        </w:rPr>
        <w:t xml:space="preserve">.  Such sources have to demonstrate </w:t>
      </w:r>
      <w:r w:rsidR="00A053AC" w:rsidRPr="00D15774">
        <w:rPr>
          <w:color w:val="000000"/>
          <w:szCs w:val="24"/>
        </w:rPr>
        <w:t xml:space="preserve">through modeling </w:t>
      </w:r>
      <w:r w:rsidR="00674846" w:rsidRPr="00D15774">
        <w:rPr>
          <w:color w:val="000000"/>
          <w:szCs w:val="24"/>
        </w:rPr>
        <w:t xml:space="preserve">that </w:t>
      </w:r>
      <w:r w:rsidR="00A053AC" w:rsidRPr="00D15774">
        <w:t>the proposed potential emissions will not interfere with the attainment or maintenance of the A</w:t>
      </w:r>
      <w:r w:rsidR="00674846" w:rsidRPr="00D15774">
        <w:rPr>
          <w:color w:val="000000"/>
          <w:szCs w:val="24"/>
        </w:rPr>
        <w:t xml:space="preserve">laska </w:t>
      </w:r>
      <w:r w:rsidRPr="00D15774">
        <w:rPr>
          <w:color w:val="000000"/>
          <w:szCs w:val="24"/>
        </w:rPr>
        <w:t>A</w:t>
      </w:r>
      <w:r w:rsidR="00674846" w:rsidRPr="00D15774">
        <w:rPr>
          <w:color w:val="000000"/>
          <w:szCs w:val="24"/>
        </w:rPr>
        <w:t xml:space="preserve">mbient </w:t>
      </w:r>
      <w:r w:rsidRPr="00D15774">
        <w:rPr>
          <w:color w:val="000000"/>
          <w:szCs w:val="24"/>
        </w:rPr>
        <w:t>A</w:t>
      </w:r>
      <w:r w:rsidR="00674846" w:rsidRPr="00D15774">
        <w:rPr>
          <w:color w:val="000000"/>
          <w:szCs w:val="24"/>
        </w:rPr>
        <w:t xml:space="preserve">ir </w:t>
      </w:r>
      <w:r w:rsidRPr="00D15774">
        <w:rPr>
          <w:color w:val="000000"/>
          <w:szCs w:val="24"/>
        </w:rPr>
        <w:t>Q</w:t>
      </w:r>
      <w:r w:rsidR="00674846" w:rsidRPr="00D15774">
        <w:rPr>
          <w:color w:val="000000"/>
          <w:szCs w:val="24"/>
        </w:rPr>
        <w:t xml:space="preserve">uality </w:t>
      </w:r>
      <w:r w:rsidRPr="00D15774">
        <w:rPr>
          <w:color w:val="000000"/>
          <w:szCs w:val="24"/>
        </w:rPr>
        <w:t>S</w:t>
      </w:r>
      <w:r w:rsidR="00674846" w:rsidRPr="00D15774">
        <w:rPr>
          <w:color w:val="000000"/>
          <w:szCs w:val="24"/>
        </w:rPr>
        <w:t>tandards</w:t>
      </w:r>
      <w:r w:rsidR="00A053AC" w:rsidRPr="00D15774">
        <w:rPr>
          <w:color w:val="000000"/>
          <w:szCs w:val="24"/>
        </w:rPr>
        <w:t>.  No BACT review is conducted for these minor sources, however.</w:t>
      </w:r>
      <w:r w:rsidR="0098006D" w:rsidRPr="00D15774">
        <w:rPr>
          <w:color w:val="000000"/>
          <w:szCs w:val="24"/>
        </w:rPr>
        <w:t xml:space="preserve">  Thus it is possible that emissions of temporary engines could be restricted to something under Federal Nonroad Mobile emission limits in order to meet ambient standards.</w:t>
      </w:r>
    </w:p>
    <w:p w:rsidR="00AA20CE" w:rsidRPr="00D15774" w:rsidRDefault="00AA20CE" w:rsidP="00B86A53">
      <w:pPr>
        <w:widowControl w:val="0"/>
        <w:spacing w:line="300" w:lineRule="auto"/>
      </w:pPr>
    </w:p>
    <w:p w:rsidR="008A07D5" w:rsidRPr="00B26379" w:rsidRDefault="00B86A53" w:rsidP="00B86A53">
      <w:pPr>
        <w:widowControl w:val="0"/>
        <w:spacing w:line="300" w:lineRule="auto"/>
        <w:rPr>
          <w:u w:val="single"/>
        </w:rPr>
      </w:pPr>
      <w:bookmarkStart w:id="50" w:name="_Toc369087004"/>
      <w:r w:rsidRPr="00B26379">
        <w:rPr>
          <w:rStyle w:val="Heading3Char"/>
          <w:rFonts w:ascii="Times New Roman" w:hAnsi="Times New Roman" w:cs="Times New Roman"/>
          <w:color w:val="auto"/>
          <w:u w:val="single"/>
        </w:rPr>
        <w:t>Colorado</w:t>
      </w:r>
      <w:bookmarkEnd w:id="50"/>
      <w:r w:rsidR="00E21C92" w:rsidRPr="00B26379">
        <w:rPr>
          <w:rStyle w:val="Heading3Char"/>
          <w:rFonts w:ascii="Times New Roman" w:hAnsi="Times New Roman" w:cs="Times New Roman"/>
          <w:color w:val="auto"/>
          <w:u w:val="single"/>
        </w:rPr>
        <w:fldChar w:fldCharType="begin"/>
      </w:r>
      <w:r w:rsidRPr="00B26379">
        <w:rPr>
          <w:rStyle w:val="Heading3Char"/>
          <w:rFonts w:ascii="Times New Roman" w:hAnsi="Times New Roman" w:cs="Times New Roman"/>
          <w:color w:val="auto"/>
          <w:u w:val="single"/>
        </w:rPr>
        <w:instrText xml:space="preserve"> TC \l3 "</w:instrText>
      </w:r>
      <w:bookmarkStart w:id="51" w:name="_Toc363192327"/>
      <w:r w:rsidRPr="00B26379">
        <w:rPr>
          <w:rStyle w:val="Heading3Char"/>
          <w:rFonts w:ascii="Times New Roman" w:hAnsi="Times New Roman" w:cs="Times New Roman"/>
          <w:color w:val="auto"/>
          <w:u w:val="single"/>
        </w:rPr>
        <w:instrText>Colorado</w:instrText>
      </w:r>
      <w:bookmarkEnd w:id="51"/>
      <w:r w:rsidR="00E21C92" w:rsidRPr="00B26379">
        <w:rPr>
          <w:rStyle w:val="Heading3Char"/>
          <w:rFonts w:ascii="Times New Roman" w:hAnsi="Times New Roman" w:cs="Times New Roman"/>
          <w:color w:val="auto"/>
          <w:u w:val="single"/>
        </w:rPr>
        <w:fldChar w:fldCharType="end"/>
      </w:r>
      <w:r w:rsidRPr="00B26379">
        <w:rPr>
          <w:rStyle w:val="Heading3Char"/>
          <w:rFonts w:ascii="Times New Roman" w:hAnsi="Times New Roman" w:cs="Times New Roman"/>
          <w:color w:val="auto"/>
          <w:u w:val="single"/>
        </w:rPr>
        <w:t xml:space="preserve"> </w:t>
      </w:r>
      <w:r w:rsidR="00893792" w:rsidRPr="00B26379">
        <w:rPr>
          <w:u w:val="single"/>
        </w:rPr>
        <w:t xml:space="preserve"> </w:t>
      </w:r>
    </w:p>
    <w:p w:rsidR="002A6008" w:rsidRPr="00D15774" w:rsidRDefault="00B86A53" w:rsidP="00B86A53">
      <w:pPr>
        <w:widowControl w:val="0"/>
        <w:spacing w:line="300" w:lineRule="auto"/>
      </w:pPr>
      <w:r w:rsidRPr="00D15774">
        <w:t xml:space="preserve">The Colorado Department of Public Health and </w:t>
      </w:r>
      <w:r w:rsidR="001B754B" w:rsidRPr="00D15774">
        <w:t>Environment</w:t>
      </w:r>
      <w:r w:rsidRPr="00D15774">
        <w:t xml:space="preserve"> (CDPHE) has adopted se</w:t>
      </w:r>
      <w:r w:rsidR="0059687A" w:rsidRPr="00D15774">
        <w:t>veral rules which regulate VOC e</w:t>
      </w:r>
      <w:r w:rsidRPr="00D15774">
        <w:t xml:space="preserve">missions from O&amp;G operations in the state.  Additionally the Colorado Oil and Gas Conservation Commission (COGCC) has adopted </w:t>
      </w:r>
      <w:r w:rsidR="0059687A" w:rsidRPr="00D15774">
        <w:t xml:space="preserve">requirements under </w:t>
      </w:r>
      <w:r w:rsidRPr="00D15774">
        <w:t>HB 07-1341 which further regulates VOC emissions.</w:t>
      </w:r>
    </w:p>
    <w:p w:rsidR="002A6008" w:rsidRPr="00D15774" w:rsidRDefault="002A6008" w:rsidP="00B86A53">
      <w:pPr>
        <w:widowControl w:val="0"/>
        <w:spacing w:line="300" w:lineRule="auto"/>
      </w:pPr>
    </w:p>
    <w:p w:rsidR="00B86A53" w:rsidRPr="00D15774" w:rsidRDefault="00B86A53" w:rsidP="00B86A53">
      <w:pPr>
        <w:widowControl w:val="0"/>
        <w:spacing w:line="300" w:lineRule="auto"/>
      </w:pPr>
      <w:r w:rsidRPr="00D15774">
        <w:t>Regarding “Green Completions” COGCC HB-07-1341 requires that green completions be used when technically and economically feasible.  If not feasible, Best Management Practices shall be used.  For the purpose of gross emission inventory evaluation this COGCC rule is essentially equivalent to the Subpart OOOO regulation.</w:t>
      </w:r>
    </w:p>
    <w:p w:rsidR="00B86A53" w:rsidRPr="00D15774" w:rsidRDefault="00B86A53" w:rsidP="00B86A53">
      <w:pPr>
        <w:widowControl w:val="0"/>
        <w:spacing w:line="300" w:lineRule="auto"/>
      </w:pPr>
    </w:p>
    <w:p w:rsidR="00B86A53" w:rsidRPr="00D15774" w:rsidRDefault="00B86A53" w:rsidP="00B86A53">
      <w:pPr>
        <w:widowControl w:val="0"/>
        <w:spacing w:line="300" w:lineRule="auto"/>
      </w:pPr>
      <w:r w:rsidRPr="00D15774">
        <w:t xml:space="preserve">Regarding compression Colorado has no equivalent to the Subpart OOOO regulations for </w:t>
      </w:r>
      <w:r w:rsidR="005C2EF7" w:rsidRPr="00D15774">
        <w:t>wet</w:t>
      </w:r>
      <w:r w:rsidRPr="00D15774">
        <w:t xml:space="preserve"> seal systems or maintenance schedules to prevent fugitive VOC leaks from the compressor units themselves.</w:t>
      </w:r>
    </w:p>
    <w:p w:rsidR="00B86A53" w:rsidRPr="00D15774" w:rsidRDefault="00B86A53" w:rsidP="00B86A53">
      <w:pPr>
        <w:widowControl w:val="0"/>
        <w:spacing w:line="300" w:lineRule="auto"/>
      </w:pPr>
    </w:p>
    <w:p w:rsidR="00B86A53" w:rsidRPr="00D15774" w:rsidRDefault="00B86A53" w:rsidP="00B86A53">
      <w:pPr>
        <w:widowControl w:val="0"/>
        <w:spacing w:line="300" w:lineRule="auto"/>
      </w:pPr>
      <w:r w:rsidRPr="00D15774">
        <w:lastRenderedPageBreak/>
        <w:t>Regarding pneumatic controllers, CDPHE’s Regulation 7 requires no or low-bleed equipment for all new and existing applications, but some exceptions are allowed.  Reg</w:t>
      </w:r>
      <w:r w:rsidR="0059687A" w:rsidRPr="00D15774">
        <w:t>ulation</w:t>
      </w:r>
      <w:r w:rsidRPr="00D15774">
        <w:t xml:space="preserve"> 7 applies only in ozone nonattainment areas.  In addition COGCC HB 07-1341 contains statewide pneumatic device requirements.  Once again for the purpose of gross emission inventory evaluation this level of mandated control is essentially equivalent to the Subpart OOOO proposal for the purpose of gross emission inventory evaluation.</w:t>
      </w:r>
    </w:p>
    <w:p w:rsidR="00173043" w:rsidRPr="00D15774" w:rsidRDefault="00173043" w:rsidP="00B86A53">
      <w:pPr>
        <w:widowControl w:val="0"/>
        <w:spacing w:line="300" w:lineRule="auto"/>
      </w:pPr>
    </w:p>
    <w:p w:rsidR="00B86A53" w:rsidRPr="00D15774" w:rsidRDefault="00B86A53" w:rsidP="00B86A53">
      <w:pPr>
        <w:widowControl w:val="0"/>
        <w:spacing w:line="300" w:lineRule="auto"/>
      </w:pPr>
      <w:r w:rsidRPr="00D15774">
        <w:t xml:space="preserve">On condensate tanks the </w:t>
      </w:r>
      <w:r w:rsidR="00956808" w:rsidRPr="00D15774">
        <w:t>federal</w:t>
      </w:r>
      <w:r w:rsidRPr="00D15774">
        <w:t xml:space="preserve"> </w:t>
      </w:r>
      <w:r w:rsidR="00DB6342" w:rsidRPr="00D15774">
        <w:t>regulation</w:t>
      </w:r>
      <w:r w:rsidRPr="00D15774">
        <w:t xml:space="preserve"> calls for 95% control on tanks</w:t>
      </w:r>
      <w:r w:rsidR="00581669" w:rsidRPr="00D15774">
        <w:t xml:space="preserve"> constructed or modified after August 23, 2011</w:t>
      </w:r>
      <w:r w:rsidRPr="00D15774">
        <w:t xml:space="preserve"> with</w:t>
      </w:r>
      <w:r w:rsidR="00173043" w:rsidRPr="00D15774">
        <w:t xml:space="preserve"> PTE of </w:t>
      </w:r>
      <w:r w:rsidRPr="00D15774">
        <w:t xml:space="preserve">6 </w:t>
      </w:r>
      <w:r w:rsidR="0059687A" w:rsidRPr="00D15774">
        <w:t>tpy</w:t>
      </w:r>
      <w:r w:rsidRPr="00D15774">
        <w:t xml:space="preserve"> VOC emissions.  For the purpose of gross emission inventory evaluation the </w:t>
      </w:r>
      <w:r w:rsidR="00956808" w:rsidRPr="00D15774">
        <w:t>federal</w:t>
      </w:r>
      <w:r w:rsidRPr="00D15774">
        <w:t xml:space="preserve"> </w:t>
      </w:r>
      <w:r w:rsidR="00DB6342" w:rsidRPr="00D15774">
        <w:t>regulation</w:t>
      </w:r>
      <w:r w:rsidRPr="00D15774">
        <w:t xml:space="preserve"> is essentially matched by Colorado’s Regulation 7 (applicable only in ozone nonattainment areas).  The COGCC HB 07-1341 regulation lowers the threshold </w:t>
      </w:r>
      <w:r w:rsidR="0059687A" w:rsidRPr="00D15774">
        <w:t xml:space="preserve">to </w:t>
      </w:r>
      <w:r w:rsidRPr="00D15774">
        <w:t xml:space="preserve">5 </w:t>
      </w:r>
      <w:r w:rsidR="0059687A" w:rsidRPr="00D15774">
        <w:t>tpy</w:t>
      </w:r>
      <w:r w:rsidRPr="00D15774">
        <w:t xml:space="preserve"> for requiring control if the site is within 1/4 mile of an “affected building” (applicable only in Garfield, Mesa &amp; Rio Blanco Counties).</w:t>
      </w:r>
    </w:p>
    <w:p w:rsidR="00B86A53" w:rsidRPr="00D15774" w:rsidRDefault="00B86A53" w:rsidP="00B86A53">
      <w:pPr>
        <w:widowControl w:val="0"/>
        <w:spacing w:line="300" w:lineRule="auto"/>
      </w:pPr>
    </w:p>
    <w:p w:rsidR="00F14559" w:rsidRPr="00D15774" w:rsidRDefault="00B86A53" w:rsidP="00AA20CE">
      <w:pPr>
        <w:widowControl w:val="0"/>
        <w:spacing w:line="300" w:lineRule="auto"/>
      </w:pPr>
      <w:r w:rsidRPr="00D15774">
        <w:t xml:space="preserve">Colorado, like all western O&amp;G states surveyed, has adopted NSPS Subpart KKK regulations for Leak Detection and Repair (LDAR) at </w:t>
      </w:r>
      <w:r w:rsidR="00173043" w:rsidRPr="00D15774">
        <w:t xml:space="preserve">gas plants.  However none of the states have the 500 ppm </w:t>
      </w:r>
      <w:r w:rsidR="0043445C" w:rsidRPr="00D15774">
        <w:t xml:space="preserve">VOC </w:t>
      </w:r>
      <w:r w:rsidR="00173043" w:rsidRPr="00D15774">
        <w:t>leak threshold required under Subpart OOOO.</w:t>
      </w:r>
    </w:p>
    <w:p w:rsidR="00173043" w:rsidRPr="00D15774" w:rsidRDefault="00173043" w:rsidP="00B86A53">
      <w:pPr>
        <w:widowControl w:val="0"/>
        <w:spacing w:line="300" w:lineRule="auto"/>
      </w:pPr>
    </w:p>
    <w:p w:rsidR="00B86A53" w:rsidRPr="00D15774" w:rsidRDefault="00B86A53" w:rsidP="00B86A53">
      <w:pPr>
        <w:widowControl w:val="0"/>
        <w:spacing w:line="300" w:lineRule="auto"/>
      </w:pPr>
      <w:r w:rsidRPr="00D15774">
        <w:t xml:space="preserve">Regarding glycol dehydrators the </w:t>
      </w:r>
      <w:r w:rsidR="00956808" w:rsidRPr="00D15774">
        <w:t>federal</w:t>
      </w:r>
      <w:r w:rsidRPr="00D15774">
        <w:t xml:space="preserve"> </w:t>
      </w:r>
      <w:r w:rsidR="00DB6342" w:rsidRPr="00D15774">
        <w:t>regulation</w:t>
      </w:r>
      <w:r w:rsidRPr="00D15774">
        <w:t xml:space="preserve"> requires 95% control on large units and emission limits on smaller dehydrators.  For the purpose of gross emission inventory evaluation, this is essentially matched by Colorado’s Regulation 7 requiring 90% reduction on an emission threshold of 15 </w:t>
      </w:r>
      <w:r w:rsidR="0059687A" w:rsidRPr="00D15774">
        <w:t>tpy</w:t>
      </w:r>
      <w:r w:rsidR="00F37039" w:rsidRPr="00D15774">
        <w:t xml:space="preserve"> (applicable in ozone non-attainment areas)</w:t>
      </w:r>
      <w:r w:rsidRPr="00D15774">
        <w:t xml:space="preserve">.  </w:t>
      </w:r>
      <w:r w:rsidR="0059687A" w:rsidRPr="00D15774">
        <w:t>Under</w:t>
      </w:r>
      <w:r w:rsidRPr="00D15774">
        <w:t xml:space="preserve"> the COGCC HB-07-1341 regulation th</w:t>
      </w:r>
      <w:r w:rsidR="00B539C7" w:rsidRPr="00D15774">
        <w:t>e</w:t>
      </w:r>
      <w:r w:rsidRPr="00D15774">
        <w:t xml:space="preserve"> threshold </w:t>
      </w:r>
      <w:r w:rsidR="00B539C7" w:rsidRPr="00D15774">
        <w:t xml:space="preserve">is lowered </w:t>
      </w:r>
      <w:r w:rsidRPr="00D15774">
        <w:t xml:space="preserve">to 5 </w:t>
      </w:r>
      <w:r w:rsidR="0059687A" w:rsidRPr="00D15774">
        <w:t>tpy</w:t>
      </w:r>
      <w:r w:rsidRPr="00D15774">
        <w:t xml:space="preserve"> if the site is within 1/4 mile of an “affected building” (applies only to Garfield, Mesa &amp; Rio Blanco Counties).</w:t>
      </w:r>
    </w:p>
    <w:p w:rsidR="00B86A53" w:rsidRPr="00D15774" w:rsidRDefault="00B86A53" w:rsidP="00B86A53">
      <w:pPr>
        <w:widowControl w:val="0"/>
        <w:spacing w:line="300" w:lineRule="auto"/>
      </w:pPr>
    </w:p>
    <w:p w:rsidR="00B86A53" w:rsidRPr="00D15774" w:rsidRDefault="00B86A53" w:rsidP="00B86A53">
      <w:pPr>
        <w:widowControl w:val="0"/>
        <w:spacing w:line="300" w:lineRule="auto"/>
      </w:pPr>
      <w:r w:rsidRPr="00D15774">
        <w:t>Although Colorado has minor source permitting requirements, th</w:t>
      </w:r>
      <w:r w:rsidR="00B539C7" w:rsidRPr="00D15774">
        <w:t>o</w:t>
      </w:r>
      <w:r w:rsidRPr="00D15774">
        <w:t>se regulations do</w:t>
      </w:r>
      <w:r w:rsidR="00B539C7" w:rsidRPr="00D15774">
        <w:t xml:space="preserve"> </w:t>
      </w:r>
      <w:r w:rsidRPr="00D15774">
        <w:t>n</w:t>
      </w:r>
      <w:r w:rsidR="00B539C7" w:rsidRPr="00D15774">
        <w:t>o</w:t>
      </w:r>
      <w:r w:rsidRPr="00D15774">
        <w:t>t apply to Indian Country.</w:t>
      </w:r>
    </w:p>
    <w:p w:rsidR="00AA20CE" w:rsidRPr="00D15774" w:rsidRDefault="00AA20CE" w:rsidP="00AA20CE">
      <w:pPr>
        <w:widowControl w:val="0"/>
        <w:spacing w:line="300" w:lineRule="auto"/>
      </w:pPr>
    </w:p>
    <w:p w:rsidR="008D394A" w:rsidRPr="00D15774" w:rsidRDefault="00AA20CE" w:rsidP="008D394A">
      <w:pPr>
        <w:widowControl w:val="0"/>
        <w:spacing w:line="300" w:lineRule="auto"/>
        <w:rPr>
          <w:szCs w:val="24"/>
        </w:rPr>
      </w:pPr>
      <w:r w:rsidRPr="00D15774">
        <w:t xml:space="preserve">Regarding NOx, Colorado has adopted most of combustion control NSPS standards (boiler Subparts Db and Dc, engine/turbine Subparts IIII and KKKK).  Unlike the other states discussed here however, Colorado did not adopt NSPS Subpart JJJJ for SI-ICE.  But in its place, Colorado has </w:t>
      </w:r>
      <w:r w:rsidRPr="00D15774">
        <w:rPr>
          <w:b/>
          <w:u w:val="single"/>
        </w:rPr>
        <w:t>Regulation 7.XVII.E</w:t>
      </w:r>
      <w:r w:rsidRPr="00D15774">
        <w:t xml:space="preserve"> which sets emission limits for SI-ICE which mirror Subpart JJJJ.</w:t>
      </w:r>
      <w:r w:rsidR="008D394A" w:rsidRPr="00D15774">
        <w:t xml:space="preserve">  The state’s permitting threshold for </w:t>
      </w:r>
      <w:r w:rsidR="004A6A8B" w:rsidRPr="00D15774">
        <w:t>NOx</w:t>
      </w:r>
      <w:r w:rsidR="008D394A" w:rsidRPr="00D15774">
        <w:t xml:space="preserve"> is 10 TPY (5 TPY for non-attainment areas), but minor </w:t>
      </w:r>
      <w:r w:rsidR="008D394A" w:rsidRPr="00D15774">
        <w:rPr>
          <w:szCs w:val="24"/>
        </w:rPr>
        <w:t xml:space="preserve">sources </w:t>
      </w:r>
      <w:r w:rsidR="006E5542" w:rsidRPr="00D15774">
        <w:rPr>
          <w:szCs w:val="24"/>
        </w:rPr>
        <w:t xml:space="preserve">between 25-100 TPY </w:t>
      </w:r>
      <w:r w:rsidR="008D394A" w:rsidRPr="00D15774">
        <w:rPr>
          <w:szCs w:val="24"/>
        </w:rPr>
        <w:t xml:space="preserve">do not undergo a BACT review.  So for this state the NSPS and </w:t>
      </w:r>
      <w:r w:rsidR="00A053AC" w:rsidRPr="00D15774">
        <w:rPr>
          <w:szCs w:val="24"/>
        </w:rPr>
        <w:t>r</w:t>
      </w:r>
      <w:r w:rsidR="008D394A" w:rsidRPr="00D15774">
        <w:rPr>
          <w:szCs w:val="24"/>
        </w:rPr>
        <w:t xml:space="preserve">egulation 7.XVII.E represent the ceiling for NOx limits in minor </w:t>
      </w:r>
      <w:r w:rsidR="006E5542" w:rsidRPr="00D15774">
        <w:rPr>
          <w:szCs w:val="24"/>
        </w:rPr>
        <w:t>source permits</w:t>
      </w:r>
      <w:r w:rsidR="008D394A" w:rsidRPr="00D15774">
        <w:rPr>
          <w:szCs w:val="24"/>
        </w:rPr>
        <w:t>.</w:t>
      </w:r>
    </w:p>
    <w:p w:rsidR="00261C42" w:rsidRPr="00D15774" w:rsidRDefault="00261C42" w:rsidP="00261C42">
      <w:pPr>
        <w:widowControl w:val="0"/>
        <w:spacing w:line="300" w:lineRule="auto"/>
        <w:rPr>
          <w:szCs w:val="24"/>
        </w:rPr>
      </w:pPr>
    </w:p>
    <w:p w:rsidR="00261C42" w:rsidRPr="00D15774" w:rsidRDefault="00261C42" w:rsidP="00261C42">
      <w:pPr>
        <w:widowControl w:val="0"/>
        <w:spacing w:line="300" w:lineRule="auto"/>
        <w:rPr>
          <w:color w:val="000000"/>
          <w:szCs w:val="24"/>
        </w:rPr>
      </w:pPr>
      <w:r w:rsidRPr="00D15774">
        <w:rPr>
          <w:szCs w:val="24"/>
          <w:lang w:val="en-CA"/>
        </w:rPr>
        <w:t>Regarding Nonroad Mobile Sources, the federal</w:t>
      </w:r>
      <w:r w:rsidRPr="00D15774">
        <w:rPr>
          <w:color w:val="000000"/>
          <w:szCs w:val="24"/>
        </w:rPr>
        <w:t xml:space="preserve"> Tier Standards take precedence.  Colorado does have a regulation [</w:t>
      </w:r>
      <w:r w:rsidRPr="00D15774">
        <w:rPr>
          <w:b/>
          <w:szCs w:val="24"/>
          <w:u w:val="single"/>
          <w:lang w:val="en-CA"/>
        </w:rPr>
        <w:fldChar w:fldCharType="begin"/>
      </w:r>
      <w:r w:rsidRPr="00D15774">
        <w:rPr>
          <w:b/>
          <w:szCs w:val="24"/>
          <w:u w:val="single"/>
          <w:lang w:val="en-CA"/>
        </w:rPr>
        <w:instrText xml:space="preserve"> SEQ CHAPTER \h \r 1</w:instrText>
      </w:r>
      <w:r w:rsidRPr="00D15774">
        <w:rPr>
          <w:b/>
          <w:szCs w:val="24"/>
          <w:u w:val="single"/>
          <w:lang w:val="en-CA"/>
        </w:rPr>
        <w:fldChar w:fldCharType="end"/>
      </w:r>
      <w:r w:rsidRPr="00D15774">
        <w:rPr>
          <w:b/>
          <w:bCs/>
          <w:color w:val="000000"/>
          <w:szCs w:val="24"/>
          <w:u w:val="single"/>
        </w:rPr>
        <w:t xml:space="preserve"> Regulation 3 Part A, I.B.31</w:t>
      </w:r>
      <w:r w:rsidRPr="00D15774">
        <w:rPr>
          <w:bCs/>
          <w:color w:val="000000"/>
          <w:szCs w:val="24"/>
        </w:rPr>
        <w:t xml:space="preserve"> </w:t>
      </w:r>
      <w:r w:rsidRPr="00D15774">
        <w:rPr>
          <w:szCs w:val="24"/>
        </w:rPr>
        <w:t xml:space="preserve">] which requires that </w:t>
      </w:r>
      <w:r w:rsidRPr="00D15774">
        <w:rPr>
          <w:color w:val="000000"/>
          <w:szCs w:val="24"/>
        </w:rPr>
        <w:t xml:space="preserve">nonroad engines &gt;1200 HP in size, which operate more than 4380 hours per year are subject to state only requirements (for nonroad engines co-located at an existing major source of NOx or SO2, engines only must be &gt;1200 HP and there is no operating hour threshold).  Such engines must pay a Colorado emission fee mandated by an Air Pollutant Emission Notice (APENs), and if they emit 100 TPY </w:t>
      </w:r>
      <w:r w:rsidRPr="00D15774">
        <w:rPr>
          <w:color w:val="000000"/>
          <w:szCs w:val="24"/>
        </w:rPr>
        <w:lastRenderedPageBreak/>
        <w:t>or more of NOx (other thresholds for other pollutants), they must submit an application for a site-specific, temporary permit. This permit will contain such terms and conditions determined by CDPHE to be necessary to protect Colorado Ambient Air Quality Standards.</w:t>
      </w:r>
      <w:r w:rsidR="0098006D" w:rsidRPr="00D15774">
        <w:rPr>
          <w:color w:val="000000"/>
          <w:szCs w:val="24"/>
        </w:rPr>
        <w:t xml:space="preserve">  Thus it is possible that emissions of temporary engines could be restricted to something under Federal Nonroad Mobile emission limits in order to meet ambient standards.</w:t>
      </w:r>
    </w:p>
    <w:p w:rsidR="0098006D" w:rsidRPr="00D15774" w:rsidRDefault="0098006D" w:rsidP="00261C42">
      <w:pPr>
        <w:widowControl w:val="0"/>
        <w:spacing w:line="300" w:lineRule="auto"/>
        <w:rPr>
          <w:color w:val="000000"/>
          <w:szCs w:val="24"/>
        </w:rPr>
      </w:pPr>
    </w:p>
    <w:p w:rsidR="008A07D5" w:rsidRPr="00B26379" w:rsidRDefault="00B86A53" w:rsidP="00B86A53">
      <w:pPr>
        <w:widowControl w:val="0"/>
        <w:spacing w:line="300" w:lineRule="auto"/>
        <w:rPr>
          <w:szCs w:val="24"/>
          <w:u w:val="single"/>
        </w:rPr>
      </w:pPr>
      <w:bookmarkStart w:id="52" w:name="_Toc369087005"/>
      <w:r w:rsidRPr="00B26379">
        <w:rPr>
          <w:rStyle w:val="Heading3Char"/>
          <w:rFonts w:ascii="Times New Roman" w:hAnsi="Times New Roman" w:cs="Times New Roman"/>
          <w:u w:val="single"/>
        </w:rPr>
        <w:t>Montana</w:t>
      </w:r>
      <w:bookmarkEnd w:id="52"/>
      <w:r w:rsidR="00E21C92" w:rsidRPr="00B26379">
        <w:rPr>
          <w:szCs w:val="24"/>
          <w:u w:val="single"/>
        </w:rPr>
        <w:fldChar w:fldCharType="begin"/>
      </w:r>
      <w:r w:rsidRPr="00B26379">
        <w:rPr>
          <w:b/>
          <w:szCs w:val="24"/>
          <w:u w:val="single"/>
        </w:rPr>
        <w:instrText xml:space="preserve"> TC \l3 "</w:instrText>
      </w:r>
      <w:bookmarkStart w:id="53" w:name="_Toc363192328"/>
      <w:r w:rsidRPr="00B26379">
        <w:rPr>
          <w:b/>
          <w:szCs w:val="24"/>
          <w:u w:val="single"/>
        </w:rPr>
        <w:instrText>Montana</w:instrText>
      </w:r>
      <w:bookmarkEnd w:id="53"/>
      <w:r w:rsidR="00E21C92" w:rsidRPr="00B26379">
        <w:rPr>
          <w:szCs w:val="24"/>
          <w:u w:val="single"/>
        </w:rPr>
        <w:fldChar w:fldCharType="end"/>
      </w:r>
      <w:r w:rsidRPr="00B26379">
        <w:rPr>
          <w:szCs w:val="24"/>
          <w:u w:val="single"/>
        </w:rPr>
        <w:t xml:space="preserve">  </w:t>
      </w:r>
    </w:p>
    <w:p w:rsidR="00B86A53" w:rsidRPr="00D15774" w:rsidRDefault="00B86A53" w:rsidP="00B86A53">
      <w:pPr>
        <w:widowControl w:val="0"/>
        <w:spacing w:line="300" w:lineRule="auto"/>
      </w:pPr>
      <w:r w:rsidRPr="00D15774">
        <w:rPr>
          <w:szCs w:val="24"/>
        </w:rPr>
        <w:t>Except as noted below</w:t>
      </w:r>
      <w:r w:rsidRPr="00D15774">
        <w:t xml:space="preserve"> the Montana Department of </w:t>
      </w:r>
      <w:r w:rsidR="001B754B" w:rsidRPr="00D15774">
        <w:t>Environment</w:t>
      </w:r>
      <w:r w:rsidRPr="00D15774">
        <w:t xml:space="preserve">al Quality (DEQ) has adopted no regulations as specific as the </w:t>
      </w:r>
      <w:r w:rsidR="00956808" w:rsidRPr="00D15774">
        <w:t>federal</w:t>
      </w:r>
      <w:r w:rsidRPr="00D15774">
        <w:t xml:space="preserve"> NSPS Subpart OOOO for VOC emissions from O&amp;G operations.  The Montana Board of Oil and Gas Conservation (MBOGC) has r</w:t>
      </w:r>
      <w:r w:rsidR="00051F00" w:rsidRPr="00D15774">
        <w:t>egulations that</w:t>
      </w:r>
      <w:r w:rsidRPr="00D15774">
        <w:t xml:space="preserve"> limit VOC emissions during the drilling and completion of oil and gas wells.  </w:t>
      </w:r>
    </w:p>
    <w:p w:rsidR="00B86A53" w:rsidRPr="00D15774" w:rsidRDefault="00B86A53" w:rsidP="00B86A53">
      <w:pPr>
        <w:widowControl w:val="0"/>
        <w:spacing w:line="300" w:lineRule="auto"/>
      </w:pPr>
    </w:p>
    <w:p w:rsidR="00B86A53" w:rsidRPr="00D15774" w:rsidRDefault="00B86A53" w:rsidP="00B86A53">
      <w:pPr>
        <w:widowControl w:val="0"/>
        <w:spacing w:line="300" w:lineRule="auto"/>
        <w:rPr>
          <w:szCs w:val="24"/>
        </w:rPr>
      </w:pPr>
      <w:r w:rsidRPr="00D15774">
        <w:rPr>
          <w:szCs w:val="24"/>
        </w:rPr>
        <w:t xml:space="preserve">The Montana DEQ has regulation that requires oil or gas well facilities to control emissions from the time the well is completed until the source is registered or permitted (Administrative Rules of Montana (ARM) 17.8.16).  The Montana DEQ’s regulation ARM 17.8.17 (Registration of Air Contaminant Sources) is essentially a permit by rule, which allows </w:t>
      </w:r>
      <w:r w:rsidRPr="00D15774">
        <w:rPr>
          <w:color w:val="000000"/>
          <w:szCs w:val="24"/>
        </w:rPr>
        <w:t xml:space="preserve">owner or operator of a registration eligible facility to register with the </w:t>
      </w:r>
      <w:r w:rsidR="00051F00" w:rsidRPr="00D15774">
        <w:rPr>
          <w:color w:val="000000"/>
          <w:szCs w:val="24"/>
        </w:rPr>
        <w:t>Montana DEQ</w:t>
      </w:r>
      <w:r w:rsidRPr="00D15774">
        <w:rPr>
          <w:color w:val="000000"/>
          <w:szCs w:val="24"/>
        </w:rPr>
        <w:t xml:space="preserve"> in lieu of submitting an application for and obtaining a Montana Air Quality Permit (MAQP).   If a source cannot meet the requirements outlined in ARM 17.8.17, it must apply for an MAQP.  </w:t>
      </w:r>
      <w:r w:rsidRPr="00D15774">
        <w:rPr>
          <w:szCs w:val="24"/>
        </w:rPr>
        <w:t xml:space="preserve">A registered facility, like an MAQP facility, is subject to all applicable state and </w:t>
      </w:r>
      <w:r w:rsidR="00956808" w:rsidRPr="00D15774">
        <w:rPr>
          <w:szCs w:val="24"/>
        </w:rPr>
        <w:t>federal</w:t>
      </w:r>
      <w:r w:rsidRPr="00D15774">
        <w:rPr>
          <w:szCs w:val="24"/>
        </w:rPr>
        <w:t xml:space="preserve"> rules, including SIP-approved, </w:t>
      </w:r>
      <w:r w:rsidR="00956808" w:rsidRPr="00D15774">
        <w:rPr>
          <w:szCs w:val="24"/>
        </w:rPr>
        <w:t>federal</w:t>
      </w:r>
      <w:r w:rsidRPr="00D15774">
        <w:rPr>
          <w:szCs w:val="24"/>
        </w:rPr>
        <w:t>ly enforceable requirements.</w:t>
      </w:r>
    </w:p>
    <w:p w:rsidR="00B86A53" w:rsidRPr="00D15774" w:rsidRDefault="00B86A53" w:rsidP="00B86A53">
      <w:pPr>
        <w:widowControl w:val="0"/>
        <w:spacing w:line="300" w:lineRule="auto"/>
        <w:rPr>
          <w:color w:val="000000"/>
          <w:szCs w:val="24"/>
        </w:rPr>
      </w:pPr>
    </w:p>
    <w:p w:rsidR="00B86A53" w:rsidRPr="00D15774" w:rsidRDefault="00B86A53" w:rsidP="00B86A53">
      <w:pPr>
        <w:widowControl w:val="0"/>
        <w:spacing w:line="300" w:lineRule="auto"/>
        <w:rPr>
          <w:color w:val="000000"/>
          <w:szCs w:val="24"/>
        </w:rPr>
      </w:pPr>
      <w:r w:rsidRPr="00D15774">
        <w:rPr>
          <w:color w:val="000000"/>
          <w:szCs w:val="24"/>
        </w:rPr>
        <w:t>T</w:t>
      </w:r>
      <w:r w:rsidR="00E26C08" w:rsidRPr="00D15774">
        <w:rPr>
          <w:color w:val="000000"/>
          <w:szCs w:val="24"/>
        </w:rPr>
        <w:t xml:space="preserve">he </w:t>
      </w:r>
      <w:r w:rsidRPr="00D15774">
        <w:rPr>
          <w:color w:val="000000"/>
          <w:szCs w:val="24"/>
        </w:rPr>
        <w:t xml:space="preserve">only sources </w:t>
      </w:r>
      <w:r w:rsidR="001A32EB">
        <w:rPr>
          <w:color w:val="000000"/>
          <w:szCs w:val="24"/>
        </w:rPr>
        <w:t xml:space="preserve">currently </w:t>
      </w:r>
      <w:r w:rsidR="00E26C08" w:rsidRPr="00D15774">
        <w:rPr>
          <w:color w:val="000000"/>
          <w:szCs w:val="24"/>
        </w:rPr>
        <w:t xml:space="preserve">eligible to </w:t>
      </w:r>
      <w:r w:rsidRPr="00D15774">
        <w:rPr>
          <w:color w:val="000000"/>
          <w:szCs w:val="24"/>
        </w:rPr>
        <w:t xml:space="preserve">register in Montana are crude oil well (tank battery) facilities.  Storage vessels are the only NSPS Subpart OOOO affected facility associated with these registered sources.  All other oil and gas sector facilities which exceed the minor source threshold of 25 tpy are </w:t>
      </w:r>
      <w:r w:rsidR="001A32EB">
        <w:rPr>
          <w:color w:val="000000"/>
          <w:szCs w:val="24"/>
        </w:rPr>
        <w:t xml:space="preserve">currently </w:t>
      </w:r>
      <w:r w:rsidRPr="00D15774">
        <w:rPr>
          <w:color w:val="000000"/>
          <w:szCs w:val="24"/>
        </w:rPr>
        <w:t>required to obtain an MAQP.</w:t>
      </w:r>
    </w:p>
    <w:p w:rsidR="00B86A53" w:rsidRPr="00D15774" w:rsidRDefault="00B86A53" w:rsidP="00B86A53">
      <w:pPr>
        <w:widowControl w:val="0"/>
        <w:spacing w:line="300" w:lineRule="auto"/>
        <w:rPr>
          <w:szCs w:val="24"/>
        </w:rPr>
      </w:pPr>
    </w:p>
    <w:p w:rsidR="00B86A53" w:rsidRPr="00D15774" w:rsidRDefault="00B86A53" w:rsidP="00B86A53">
      <w:pPr>
        <w:widowControl w:val="0"/>
        <w:spacing w:line="300" w:lineRule="auto"/>
        <w:rPr>
          <w:szCs w:val="24"/>
        </w:rPr>
      </w:pPr>
      <w:r w:rsidRPr="00D15774">
        <w:rPr>
          <w:szCs w:val="24"/>
        </w:rPr>
        <w:t xml:space="preserve">Regarding compression devices, pneumatic controllers, condensate/crude oil storage tanks and glycol dehydrators, Montana has </w:t>
      </w:r>
      <w:r w:rsidR="00E26C08" w:rsidRPr="00D15774">
        <w:rPr>
          <w:szCs w:val="24"/>
        </w:rPr>
        <w:t>permitting and registration rules regarding</w:t>
      </w:r>
      <w:r w:rsidRPr="00D15774">
        <w:rPr>
          <w:szCs w:val="24"/>
        </w:rPr>
        <w:t xml:space="preserve"> control</w:t>
      </w:r>
      <w:r w:rsidR="00E26C08" w:rsidRPr="00D15774">
        <w:rPr>
          <w:szCs w:val="24"/>
        </w:rPr>
        <w:t xml:space="preserve"> of</w:t>
      </w:r>
      <w:r w:rsidRPr="00D15774">
        <w:rPr>
          <w:szCs w:val="24"/>
        </w:rPr>
        <w:t xml:space="preserve"> fugitive VOC vapors.  Regulation ARM 17.8.1</w:t>
      </w:r>
      <w:r w:rsidR="001A32EB">
        <w:rPr>
          <w:szCs w:val="24"/>
        </w:rPr>
        <w:t>6</w:t>
      </w:r>
      <w:r w:rsidRPr="00D15774">
        <w:rPr>
          <w:szCs w:val="24"/>
        </w:rPr>
        <w:t xml:space="preserve"> requires that each </w:t>
      </w:r>
      <w:r w:rsidR="00891B36">
        <w:rPr>
          <w:szCs w:val="24"/>
        </w:rPr>
        <w:t xml:space="preserve">applicable </w:t>
      </w:r>
      <w:r w:rsidRPr="00D15774">
        <w:rPr>
          <w:szCs w:val="24"/>
        </w:rPr>
        <w:t xml:space="preserve">piece of oil or gas well facility equipment, with </w:t>
      </w:r>
      <w:r w:rsidR="001A32EB">
        <w:rPr>
          <w:szCs w:val="24"/>
        </w:rPr>
        <w:t xml:space="preserve">VOC heating value &gt;500 BTU/scf and with </w:t>
      </w:r>
      <w:r w:rsidRPr="00D15774">
        <w:rPr>
          <w:szCs w:val="24"/>
        </w:rPr>
        <w:t xml:space="preserve">a PTE greater than 15 tpy be </w:t>
      </w:r>
      <w:r w:rsidR="001A32EB">
        <w:rPr>
          <w:szCs w:val="24"/>
        </w:rPr>
        <w:t xml:space="preserve">controlled.  These VOC vapors must either be routed to a gas pipeline or </w:t>
      </w:r>
      <w:r w:rsidRPr="00D15774">
        <w:rPr>
          <w:szCs w:val="24"/>
        </w:rPr>
        <w:t xml:space="preserve">controlled </w:t>
      </w:r>
      <w:r w:rsidR="001A32EB">
        <w:rPr>
          <w:szCs w:val="24"/>
        </w:rPr>
        <w:t xml:space="preserve">using emission minimizing technology from the time the well is initially completed until the facility </w:t>
      </w:r>
      <w:r w:rsidR="00A753B8">
        <w:rPr>
          <w:szCs w:val="24"/>
        </w:rPr>
        <w:t>is registered or permitted.</w:t>
      </w:r>
      <w:r w:rsidRPr="00D15774">
        <w:rPr>
          <w:szCs w:val="24"/>
        </w:rPr>
        <w:t xml:space="preserve">  If a source has compression devices, pneumatic controllers,</w:t>
      </w:r>
      <w:r w:rsidR="00A753B8">
        <w:rPr>
          <w:szCs w:val="24"/>
        </w:rPr>
        <w:t xml:space="preserve"> condensate/crude oil storage tanks</w:t>
      </w:r>
      <w:r w:rsidRPr="00D15774">
        <w:rPr>
          <w:szCs w:val="24"/>
        </w:rPr>
        <w:t xml:space="preserve"> and/or glycol dehydrators</w:t>
      </w:r>
      <w:r w:rsidR="00A753B8" w:rsidRPr="00D15774">
        <w:rPr>
          <w:szCs w:val="24"/>
        </w:rPr>
        <w:t xml:space="preserve">, with </w:t>
      </w:r>
      <w:r w:rsidR="00A753B8">
        <w:rPr>
          <w:szCs w:val="24"/>
        </w:rPr>
        <w:t>VOC heating value &gt;</w:t>
      </w:r>
      <w:r w:rsidR="00891B36">
        <w:rPr>
          <w:szCs w:val="24"/>
        </w:rPr>
        <w:t>2</w:t>
      </w:r>
      <w:r w:rsidR="00A753B8">
        <w:rPr>
          <w:szCs w:val="24"/>
        </w:rPr>
        <w:t>00 BTU/scf and with a PTE greater than</w:t>
      </w:r>
      <w:r w:rsidRPr="00D15774">
        <w:rPr>
          <w:szCs w:val="24"/>
        </w:rPr>
        <w:t xml:space="preserve"> 15 tpy emissions, the</w:t>
      </w:r>
      <w:r w:rsidR="00A753B8">
        <w:rPr>
          <w:szCs w:val="24"/>
        </w:rPr>
        <w:t>se emissions</w:t>
      </w:r>
      <w:r w:rsidRPr="00D15774">
        <w:rPr>
          <w:szCs w:val="24"/>
        </w:rPr>
        <w:t xml:space="preserve"> must </w:t>
      </w:r>
      <w:r w:rsidR="00A753B8">
        <w:rPr>
          <w:szCs w:val="24"/>
        </w:rPr>
        <w:t xml:space="preserve">be </w:t>
      </w:r>
      <w:r w:rsidR="0080443E">
        <w:rPr>
          <w:szCs w:val="24"/>
        </w:rPr>
        <w:t xml:space="preserve">captured or </w:t>
      </w:r>
      <w:r w:rsidRPr="00D15774">
        <w:rPr>
          <w:szCs w:val="24"/>
        </w:rPr>
        <w:t>control</w:t>
      </w:r>
      <w:r w:rsidR="00A753B8">
        <w:rPr>
          <w:szCs w:val="24"/>
        </w:rPr>
        <w:t>led</w:t>
      </w:r>
      <w:r w:rsidRPr="00D15774">
        <w:rPr>
          <w:szCs w:val="24"/>
        </w:rPr>
        <w:t xml:space="preserve"> by 95% or greater if registered, or obtain an MAQP </w:t>
      </w:r>
      <w:r w:rsidR="007D07F4" w:rsidRPr="00D15774">
        <w:rPr>
          <w:szCs w:val="24"/>
        </w:rPr>
        <w:t>which</w:t>
      </w:r>
      <w:r w:rsidRPr="00D15774">
        <w:rPr>
          <w:szCs w:val="24"/>
        </w:rPr>
        <w:t xml:space="preserve"> requires a case-by-case BACT analysis</w:t>
      </w:r>
      <w:r w:rsidR="007D07F4" w:rsidRPr="00D15774">
        <w:rPr>
          <w:szCs w:val="24"/>
        </w:rPr>
        <w:t>.</w:t>
      </w:r>
      <w:r w:rsidRPr="00D15774">
        <w:rPr>
          <w:szCs w:val="24"/>
        </w:rPr>
        <w:t xml:space="preserve"> </w:t>
      </w:r>
      <w:r w:rsidR="007D07F4" w:rsidRPr="00D15774">
        <w:rPr>
          <w:szCs w:val="24"/>
        </w:rPr>
        <w:t xml:space="preserve"> A case-by-case BACT analysis</w:t>
      </w:r>
      <w:r w:rsidRPr="00D15774">
        <w:rPr>
          <w:szCs w:val="24"/>
        </w:rPr>
        <w:t xml:space="preserve"> may include design, equipment, work practice, or operational standards in place of or in combination with an emission </w:t>
      </w:r>
      <w:r w:rsidR="007D07F4" w:rsidRPr="00D15774">
        <w:rPr>
          <w:szCs w:val="24"/>
        </w:rPr>
        <w:t>limitation</w:t>
      </w:r>
      <w:r w:rsidRPr="00D15774">
        <w:rPr>
          <w:szCs w:val="24"/>
        </w:rPr>
        <w:t>.</w:t>
      </w:r>
    </w:p>
    <w:p w:rsidR="00B86A53" w:rsidRPr="00D15774" w:rsidRDefault="00B86A53" w:rsidP="00B86A53">
      <w:pPr>
        <w:widowControl w:val="0"/>
        <w:spacing w:line="300" w:lineRule="auto"/>
        <w:rPr>
          <w:szCs w:val="24"/>
        </w:rPr>
      </w:pPr>
    </w:p>
    <w:p w:rsidR="00B86A53" w:rsidRPr="00D15774" w:rsidRDefault="00B86A53" w:rsidP="00B86A53">
      <w:pPr>
        <w:widowControl w:val="0"/>
        <w:spacing w:line="300" w:lineRule="auto"/>
        <w:rPr>
          <w:szCs w:val="24"/>
        </w:rPr>
      </w:pPr>
      <w:r w:rsidRPr="00D15774">
        <w:rPr>
          <w:szCs w:val="24"/>
        </w:rPr>
        <w:t xml:space="preserve">Regarding </w:t>
      </w:r>
      <w:r w:rsidR="009C416C">
        <w:t>hydrocarbon liquids (crude oil/condensate) or produced water storage tanks</w:t>
      </w:r>
      <w:r w:rsidRPr="00D15774">
        <w:rPr>
          <w:szCs w:val="24"/>
        </w:rPr>
        <w:t xml:space="preserve">, the </w:t>
      </w:r>
      <w:r w:rsidR="00956808" w:rsidRPr="00D15774">
        <w:rPr>
          <w:szCs w:val="24"/>
        </w:rPr>
        <w:t>federal</w:t>
      </w:r>
      <w:r w:rsidRPr="00D15774">
        <w:rPr>
          <w:szCs w:val="24"/>
        </w:rPr>
        <w:t xml:space="preserve"> </w:t>
      </w:r>
      <w:r w:rsidR="00DB6342" w:rsidRPr="00D15774">
        <w:rPr>
          <w:szCs w:val="24"/>
        </w:rPr>
        <w:t>regulation</w:t>
      </w:r>
      <w:r w:rsidRPr="00D15774">
        <w:rPr>
          <w:szCs w:val="24"/>
        </w:rPr>
        <w:t xml:space="preserve"> for 95% control on 6 </w:t>
      </w:r>
      <w:r w:rsidR="0059687A" w:rsidRPr="00D15774">
        <w:rPr>
          <w:szCs w:val="24"/>
        </w:rPr>
        <w:t>tpy</w:t>
      </w:r>
      <w:r w:rsidRPr="00D15774">
        <w:rPr>
          <w:szCs w:val="24"/>
        </w:rPr>
        <w:t xml:space="preserve"> VOC emitters is similar to Montana’s Regulation </w:t>
      </w:r>
      <w:r w:rsidRPr="00D15774">
        <w:rPr>
          <w:szCs w:val="24"/>
        </w:rPr>
        <w:lastRenderedPageBreak/>
        <w:t xml:space="preserve">ARM 17.7.17, except that Montana has thresholds of 15 </w:t>
      </w:r>
      <w:r w:rsidR="0059687A" w:rsidRPr="00D15774">
        <w:rPr>
          <w:szCs w:val="24"/>
        </w:rPr>
        <w:t>tpy</w:t>
      </w:r>
      <w:r w:rsidRPr="00D15774">
        <w:rPr>
          <w:szCs w:val="24"/>
        </w:rPr>
        <w:t>, and uses site/formation specific sampling to determine PTE.  Additionally, Montana requires submerged filling of liquid hydrocarbons to minimize VOC emissions for all loading and unloading of transport vehicles.</w:t>
      </w:r>
    </w:p>
    <w:p w:rsidR="00D52A77" w:rsidRPr="00D15774" w:rsidRDefault="00D52A77" w:rsidP="00D10F94">
      <w:pPr>
        <w:widowControl w:val="0"/>
        <w:spacing w:line="300" w:lineRule="auto"/>
      </w:pPr>
    </w:p>
    <w:p w:rsidR="00173043" w:rsidRPr="00D15774" w:rsidRDefault="00D10F94" w:rsidP="00173043">
      <w:pPr>
        <w:widowControl w:val="0"/>
        <w:spacing w:line="300" w:lineRule="auto"/>
      </w:pPr>
      <w:r w:rsidRPr="00D15774">
        <w:t xml:space="preserve">Montana, like all western O&amp;G states surveyed, has adopted NSPS Subpart KKK regulations for Leak Detection and Repair (LDAR) at gas plants.  </w:t>
      </w:r>
      <w:r w:rsidR="00173043" w:rsidRPr="00D15774">
        <w:t xml:space="preserve">However none of the states have the 500 ppm </w:t>
      </w:r>
      <w:r w:rsidR="003A78E5" w:rsidRPr="00D15774">
        <w:t xml:space="preserve">VOC </w:t>
      </w:r>
      <w:r w:rsidR="00173043" w:rsidRPr="00D15774">
        <w:t>leak threshold required under Subpart OOOO.</w:t>
      </w:r>
    </w:p>
    <w:p w:rsidR="00D10F94" w:rsidRPr="00D15774" w:rsidRDefault="00D10F94" w:rsidP="00D10F94">
      <w:pPr>
        <w:widowControl w:val="0"/>
        <w:spacing w:line="300" w:lineRule="auto"/>
      </w:pPr>
    </w:p>
    <w:p w:rsidR="00775100" w:rsidRPr="00D15774" w:rsidRDefault="00D10F94" w:rsidP="00775100">
      <w:pPr>
        <w:widowControl w:val="0"/>
        <w:spacing w:line="300" w:lineRule="auto"/>
      </w:pPr>
      <w:r w:rsidRPr="00D15774">
        <w:t xml:space="preserve">Montana does </w:t>
      </w:r>
      <w:r w:rsidRPr="00D15774">
        <w:rPr>
          <w:szCs w:val="24"/>
        </w:rPr>
        <w:t xml:space="preserve">have minor source control requirements in rule.  </w:t>
      </w:r>
      <w:r w:rsidRPr="00D15774">
        <w:t xml:space="preserve">In addition, </w:t>
      </w:r>
      <w:r w:rsidRPr="00D15774">
        <w:rPr>
          <w:szCs w:val="24"/>
        </w:rPr>
        <w:t>Montana i</w:t>
      </w:r>
      <w:r w:rsidRPr="00D15774">
        <w:rPr>
          <w:color w:val="000000"/>
          <w:szCs w:val="24"/>
        </w:rPr>
        <w:t xml:space="preserve">ncorporates applicable </w:t>
      </w:r>
      <w:r w:rsidR="00956808" w:rsidRPr="00D15774">
        <w:rPr>
          <w:color w:val="000000"/>
          <w:szCs w:val="24"/>
        </w:rPr>
        <w:t>federal</w:t>
      </w:r>
      <w:r w:rsidRPr="00D15774">
        <w:rPr>
          <w:color w:val="000000"/>
          <w:szCs w:val="24"/>
        </w:rPr>
        <w:t xml:space="preserve"> requirements found in the CFR on an annual basis.  </w:t>
      </w:r>
      <w:r w:rsidRPr="00D15774">
        <w:t xml:space="preserve">This includes NSPS Subparts KKK and LLL, and NESHAPS HH and HHH.   </w:t>
      </w:r>
      <w:r w:rsidR="00775100" w:rsidRPr="00D15774">
        <w:t xml:space="preserve">Regarding minor source permitting, Montana Regulation ARM 17.8.743 requires minor NSR air quality permits for sources with &gt; 25 </w:t>
      </w:r>
      <w:r w:rsidR="0059687A" w:rsidRPr="00D15774">
        <w:t>tpy</w:t>
      </w:r>
      <w:r w:rsidR="00775100" w:rsidRPr="00D15774">
        <w:t xml:space="preserve"> PTE.  Emissions from minor sources must be approved through permitting, BACT is considered on a case-by-case basis.  These rules </w:t>
      </w:r>
      <w:r w:rsidR="00B539C7" w:rsidRPr="00D15774">
        <w:t>do not</w:t>
      </w:r>
      <w:r w:rsidR="00775100" w:rsidRPr="00D15774">
        <w:t xml:space="preserve"> apply to Indian Country.</w:t>
      </w:r>
    </w:p>
    <w:p w:rsidR="006E5542" w:rsidRPr="00D15774" w:rsidRDefault="006E5542" w:rsidP="00775100">
      <w:pPr>
        <w:widowControl w:val="0"/>
        <w:spacing w:line="300" w:lineRule="auto"/>
      </w:pPr>
    </w:p>
    <w:p w:rsidR="006E5542" w:rsidRPr="00D15774" w:rsidRDefault="006E5542" w:rsidP="00775100">
      <w:pPr>
        <w:widowControl w:val="0"/>
        <w:spacing w:line="300" w:lineRule="auto"/>
      </w:pPr>
      <w:r w:rsidRPr="00D15774">
        <w:t>Regarding NOx, Montana has adopted the combustion control NSPS standards (boiler Subparts Db and Dc, engine/turbine Subparts IIII, JJJJ and KKKK).  The state’s permitting threshold for that pollutant is 25 TPY</w:t>
      </w:r>
      <w:r w:rsidR="007A4BF4">
        <w:t xml:space="preserve">.  </w:t>
      </w:r>
      <w:r w:rsidR="007A4BF4" w:rsidRPr="00AE5BC0">
        <w:t xml:space="preserve">Regulations ARM 17.8.16 and ARM 17.8.17 require that </w:t>
      </w:r>
      <w:r w:rsidR="007A4BF4" w:rsidRPr="00AE5BC0">
        <w:rPr>
          <w:color w:val="000000"/>
          <w:szCs w:val="24"/>
        </w:rPr>
        <w:t>stationary internal combustion engines of rich burn design greater than 85 brake horsepower (BHP) be equipped with nonselective catalytic reduction or its equivalent to control air emissions</w:t>
      </w:r>
      <w:r w:rsidR="007A4BF4">
        <w:rPr>
          <w:color w:val="000000"/>
          <w:szCs w:val="24"/>
        </w:rPr>
        <w:t>.  S</w:t>
      </w:r>
      <w:r w:rsidR="007A4BF4" w:rsidRPr="00AE5BC0">
        <w:rPr>
          <w:color w:val="000000"/>
          <w:szCs w:val="24"/>
        </w:rPr>
        <w:t xml:space="preserve">tationary internal combustion engines of lean burn design greater than 85 BHP </w:t>
      </w:r>
      <w:r w:rsidR="007A4BF4">
        <w:rPr>
          <w:color w:val="000000"/>
          <w:szCs w:val="24"/>
        </w:rPr>
        <w:t xml:space="preserve">must </w:t>
      </w:r>
      <w:r w:rsidR="007A4BF4" w:rsidRPr="00AE5BC0">
        <w:rPr>
          <w:color w:val="000000"/>
          <w:szCs w:val="24"/>
        </w:rPr>
        <w:t>be equipped with oxidation catalytic reduction or its equivalent to control air emissions</w:t>
      </w:r>
      <w:r w:rsidR="007A4BF4">
        <w:rPr>
          <w:color w:val="000000"/>
          <w:szCs w:val="24"/>
        </w:rPr>
        <w:t>.  Sources required to</w:t>
      </w:r>
      <w:r w:rsidR="007A4BF4" w:rsidRPr="00AE5BC0">
        <w:rPr>
          <w:szCs w:val="24"/>
        </w:rPr>
        <w:t xml:space="preserve"> obtain a MAQP </w:t>
      </w:r>
      <w:r w:rsidR="007A4BF4">
        <w:rPr>
          <w:szCs w:val="24"/>
        </w:rPr>
        <w:t>undergo</w:t>
      </w:r>
      <w:r w:rsidR="007A4BF4" w:rsidRPr="00AE5BC0">
        <w:rPr>
          <w:szCs w:val="24"/>
        </w:rPr>
        <w:t xml:space="preserve"> a case-by-case BACT analysis.  A case-by-case BACT analysis may include design, equipment, work practice, or operational standards in place of or in combination with an emission limitation</w:t>
      </w:r>
      <w:r w:rsidR="007A4BF4">
        <w:rPr>
          <w:szCs w:val="24"/>
        </w:rPr>
        <w:t>.</w:t>
      </w:r>
    </w:p>
    <w:p w:rsidR="00261C42" w:rsidRPr="00D15774" w:rsidRDefault="00261C42" w:rsidP="00775100">
      <w:pPr>
        <w:widowControl w:val="0"/>
        <w:spacing w:line="300" w:lineRule="auto"/>
      </w:pPr>
    </w:p>
    <w:p w:rsidR="00261C42" w:rsidRPr="00D15774" w:rsidRDefault="00261C42" w:rsidP="00775100">
      <w:pPr>
        <w:widowControl w:val="0"/>
        <w:spacing w:line="300" w:lineRule="auto"/>
      </w:pPr>
      <w:r w:rsidRPr="00D15774">
        <w:rPr>
          <w:szCs w:val="24"/>
          <w:lang w:val="en-CA"/>
        </w:rPr>
        <w:t>Regarding Nonroad Mobile Sources, the federal</w:t>
      </w:r>
      <w:r w:rsidRPr="00D15774">
        <w:rPr>
          <w:color w:val="000000"/>
          <w:szCs w:val="24"/>
        </w:rPr>
        <w:t xml:space="preserve"> Tier Standards take precedence.  Montana has no separate state restrictions for temporary CI or SI-ICE.</w:t>
      </w:r>
    </w:p>
    <w:p w:rsidR="00042617" w:rsidRPr="00D15774" w:rsidRDefault="00042617">
      <w:pPr>
        <w:widowControl w:val="0"/>
        <w:spacing w:line="300" w:lineRule="auto"/>
      </w:pPr>
    </w:p>
    <w:p w:rsidR="008A07D5" w:rsidRPr="00B26379" w:rsidRDefault="00042617">
      <w:pPr>
        <w:widowControl w:val="0"/>
        <w:spacing w:line="300" w:lineRule="auto"/>
        <w:rPr>
          <w:u w:val="single"/>
        </w:rPr>
      </w:pPr>
      <w:bookmarkStart w:id="54" w:name="_Toc369087006"/>
      <w:r w:rsidRPr="00B26379">
        <w:rPr>
          <w:rStyle w:val="Heading3Char"/>
          <w:rFonts w:ascii="Times New Roman" w:hAnsi="Times New Roman" w:cs="Times New Roman"/>
          <w:u w:val="single"/>
        </w:rPr>
        <w:t>New Mexico</w:t>
      </w:r>
      <w:bookmarkEnd w:id="54"/>
      <w:r w:rsidR="00E21C92" w:rsidRPr="00B26379">
        <w:rPr>
          <w:rStyle w:val="Heading3Char"/>
          <w:rFonts w:ascii="Times New Roman" w:hAnsi="Times New Roman" w:cs="Times New Roman"/>
          <w:u w:val="single"/>
        </w:rPr>
        <w:fldChar w:fldCharType="begin"/>
      </w:r>
      <w:r w:rsidRPr="00B26379">
        <w:rPr>
          <w:rStyle w:val="Heading3Char"/>
          <w:rFonts w:ascii="Times New Roman" w:hAnsi="Times New Roman" w:cs="Times New Roman"/>
          <w:u w:val="single"/>
        </w:rPr>
        <w:instrText xml:space="preserve"> TC \l3 "</w:instrText>
      </w:r>
      <w:bookmarkStart w:id="55" w:name="_Toc363192329"/>
      <w:r w:rsidRPr="00B26379">
        <w:rPr>
          <w:rStyle w:val="Heading3Char"/>
          <w:rFonts w:ascii="Times New Roman" w:hAnsi="Times New Roman" w:cs="Times New Roman"/>
          <w:u w:val="single"/>
        </w:rPr>
        <w:instrText>New Mexico</w:instrText>
      </w:r>
      <w:bookmarkEnd w:id="55"/>
      <w:r w:rsidR="00E21C92" w:rsidRPr="00B26379">
        <w:rPr>
          <w:rStyle w:val="Heading3Char"/>
          <w:rFonts w:ascii="Times New Roman" w:hAnsi="Times New Roman" w:cs="Times New Roman"/>
          <w:u w:val="single"/>
        </w:rPr>
        <w:fldChar w:fldCharType="end"/>
      </w:r>
      <w:r w:rsidR="00893792" w:rsidRPr="00B26379">
        <w:rPr>
          <w:u w:val="single"/>
        </w:rPr>
        <w:t xml:space="preserve"> </w:t>
      </w:r>
    </w:p>
    <w:p w:rsidR="00042617" w:rsidRPr="00D15774" w:rsidRDefault="00042617">
      <w:pPr>
        <w:widowControl w:val="0"/>
        <w:spacing w:line="300" w:lineRule="auto"/>
      </w:pPr>
      <w:r w:rsidRPr="00D15774">
        <w:t xml:space="preserve">The New Mexico </w:t>
      </w:r>
      <w:r w:rsidR="001B754B" w:rsidRPr="00D15774">
        <w:t>Environment</w:t>
      </w:r>
      <w:r w:rsidRPr="00D15774">
        <w:t xml:space="preserve">al Department (NMED) Air Quality Bureau has adopted no regulations comparable to the </w:t>
      </w:r>
      <w:r w:rsidR="00956808" w:rsidRPr="00D15774">
        <w:t>federal</w:t>
      </w:r>
      <w:r w:rsidRPr="00D15774">
        <w:t xml:space="preserve"> NSPS Subpart OOOO for VOC emissions from O&amp;G operations, </w:t>
      </w:r>
      <w:r w:rsidR="00B539C7" w:rsidRPr="00D15774">
        <w:t>although</w:t>
      </w:r>
      <w:r w:rsidRPr="00D15774">
        <w:t xml:space="preserve"> New Mexico, like all western O&amp;G states surveyed, has adopted NSPS Subpart KKK regulations for Leak Detection and Repair (LDAR) at gas plants.  </w:t>
      </w:r>
      <w:r w:rsidR="00173043" w:rsidRPr="00D15774">
        <w:t>However none of the states have the 500 ppm</w:t>
      </w:r>
      <w:r w:rsidR="0043445C" w:rsidRPr="00D15774">
        <w:t xml:space="preserve"> VOC</w:t>
      </w:r>
      <w:r w:rsidR="00173043" w:rsidRPr="00D15774">
        <w:t xml:space="preserve"> leak threshold required under Subpart OOOO</w:t>
      </w:r>
      <w:r w:rsidR="00D52A77" w:rsidRPr="00D15774">
        <w:t>.</w:t>
      </w:r>
    </w:p>
    <w:p w:rsidR="00D52A77" w:rsidRPr="00D15774" w:rsidRDefault="00D52A77">
      <w:pPr>
        <w:widowControl w:val="0"/>
        <w:spacing w:line="300" w:lineRule="auto"/>
      </w:pPr>
    </w:p>
    <w:p w:rsidR="00042617" w:rsidRPr="00D15774" w:rsidRDefault="00042617">
      <w:pPr>
        <w:widowControl w:val="0"/>
        <w:spacing w:line="300" w:lineRule="auto"/>
      </w:pPr>
      <w:r w:rsidRPr="00D15774">
        <w:t xml:space="preserve">Regarding New Mexico minor source permitting requirements NMAC 20.2.72 requires permits for all sources &gt;25 tpy of a criteria pollutant, while NMAC 20.2.73 requires Notices of Intent for all sources &gt;10 tpy of a criteria pollutant.  These rules </w:t>
      </w:r>
      <w:r w:rsidR="00B539C7" w:rsidRPr="00D15774">
        <w:t>do not</w:t>
      </w:r>
      <w:r w:rsidRPr="00D15774">
        <w:t xml:space="preserve"> apply to Indian Country.</w:t>
      </w:r>
    </w:p>
    <w:p w:rsidR="006E5542" w:rsidRPr="00D15774" w:rsidRDefault="006E5542">
      <w:pPr>
        <w:widowControl w:val="0"/>
        <w:spacing w:line="300" w:lineRule="auto"/>
      </w:pPr>
    </w:p>
    <w:p w:rsidR="00F855A2" w:rsidRPr="00D15774" w:rsidRDefault="006E5542" w:rsidP="00F855A2">
      <w:pPr>
        <w:widowControl w:val="0"/>
        <w:spacing w:line="300" w:lineRule="auto"/>
      </w:pPr>
      <w:r w:rsidRPr="00D15774">
        <w:t xml:space="preserve">Regarding NOx, </w:t>
      </w:r>
      <w:r w:rsidR="00F855A2" w:rsidRPr="00D15774">
        <w:t>New Mexico</w:t>
      </w:r>
      <w:r w:rsidRPr="00D15774">
        <w:t xml:space="preserve"> has adopted the combustion control NSPS standards (boiler Subparts Db and Dc, engine/turbine Subparts IIII, JJJJ and KKKK).  The state’s permitting </w:t>
      </w:r>
      <w:r w:rsidRPr="00D15774">
        <w:lastRenderedPageBreak/>
        <w:t xml:space="preserve">threshold for that pollutant is 25 TPY, and minor sources do undergo a BACT review.  </w:t>
      </w:r>
      <w:r w:rsidR="00B93093">
        <w:t>Therefore in</w:t>
      </w:r>
      <w:r w:rsidRPr="00D15774">
        <w:t xml:space="preserve"> </w:t>
      </w:r>
      <w:r w:rsidR="00B93093">
        <w:t>New Mexico</w:t>
      </w:r>
      <w:r w:rsidRPr="00D15774">
        <w:t xml:space="preserve"> the NSPS represent the ceiling for NOx limits in minor source permits.</w:t>
      </w:r>
    </w:p>
    <w:p w:rsidR="00F855A2" w:rsidRPr="00D15774" w:rsidRDefault="00F855A2" w:rsidP="00F855A2">
      <w:pPr>
        <w:widowControl w:val="0"/>
        <w:spacing w:line="300" w:lineRule="auto"/>
      </w:pPr>
    </w:p>
    <w:p w:rsidR="00F855A2" w:rsidRPr="00D15774" w:rsidRDefault="00F855A2" w:rsidP="00F855A2">
      <w:pPr>
        <w:widowControl w:val="0"/>
        <w:spacing w:line="300" w:lineRule="auto"/>
      </w:pPr>
      <w:r w:rsidRPr="00D15774">
        <w:rPr>
          <w:szCs w:val="24"/>
          <w:lang w:val="en-CA"/>
        </w:rPr>
        <w:t>Regarding Nonroad Mobile Sources, the federal</w:t>
      </w:r>
      <w:r w:rsidRPr="00D15774">
        <w:rPr>
          <w:color w:val="000000"/>
          <w:szCs w:val="24"/>
        </w:rPr>
        <w:t xml:space="preserve"> Tier Standards take precedence.  New Mexico has no separate state restrictions for temporary CI or SI-ICE.</w:t>
      </w:r>
    </w:p>
    <w:p w:rsidR="00042617" w:rsidRPr="00D15774" w:rsidRDefault="00042617">
      <w:pPr>
        <w:widowControl w:val="0"/>
        <w:spacing w:line="300" w:lineRule="auto"/>
      </w:pPr>
    </w:p>
    <w:p w:rsidR="008A07D5" w:rsidRPr="00B26379" w:rsidRDefault="00042617">
      <w:pPr>
        <w:widowControl w:val="0"/>
        <w:spacing w:line="300" w:lineRule="auto"/>
        <w:rPr>
          <w:u w:val="single"/>
        </w:rPr>
      </w:pPr>
      <w:bookmarkStart w:id="56" w:name="_Toc369087007"/>
      <w:r w:rsidRPr="00B26379">
        <w:rPr>
          <w:rStyle w:val="Heading3Char"/>
          <w:rFonts w:ascii="Times New Roman" w:hAnsi="Times New Roman" w:cs="Times New Roman"/>
          <w:u w:val="single"/>
        </w:rPr>
        <w:t>North Dakota</w:t>
      </w:r>
      <w:bookmarkEnd w:id="56"/>
      <w:r w:rsidR="00E21C92" w:rsidRPr="00B26379">
        <w:rPr>
          <w:rStyle w:val="Heading3Char"/>
          <w:rFonts w:ascii="Times New Roman" w:hAnsi="Times New Roman" w:cs="Times New Roman"/>
          <w:u w:val="single"/>
        </w:rPr>
        <w:fldChar w:fldCharType="begin"/>
      </w:r>
      <w:r w:rsidRPr="00B26379">
        <w:rPr>
          <w:rStyle w:val="Heading3Char"/>
          <w:rFonts w:ascii="Times New Roman" w:hAnsi="Times New Roman" w:cs="Times New Roman"/>
          <w:u w:val="single"/>
        </w:rPr>
        <w:instrText xml:space="preserve"> TC \l3 "</w:instrText>
      </w:r>
      <w:bookmarkStart w:id="57" w:name="_Toc363192330"/>
      <w:r w:rsidRPr="00B26379">
        <w:rPr>
          <w:rStyle w:val="Heading3Char"/>
          <w:rFonts w:ascii="Times New Roman" w:hAnsi="Times New Roman" w:cs="Times New Roman"/>
          <w:u w:val="single"/>
        </w:rPr>
        <w:instrText>North Dakota</w:instrText>
      </w:r>
      <w:bookmarkEnd w:id="57"/>
      <w:r w:rsidR="00E21C92" w:rsidRPr="00B26379">
        <w:rPr>
          <w:rStyle w:val="Heading3Char"/>
          <w:rFonts w:ascii="Times New Roman" w:hAnsi="Times New Roman" w:cs="Times New Roman"/>
          <w:u w:val="single"/>
        </w:rPr>
        <w:fldChar w:fldCharType="end"/>
      </w:r>
      <w:r w:rsidRPr="00B26379">
        <w:rPr>
          <w:u w:val="single"/>
        </w:rPr>
        <w:t xml:space="preserve">  </w:t>
      </w:r>
    </w:p>
    <w:p w:rsidR="00042617" w:rsidRPr="00D15774" w:rsidRDefault="00042617">
      <w:pPr>
        <w:widowControl w:val="0"/>
        <w:spacing w:line="300" w:lineRule="auto"/>
      </w:pPr>
      <w:r w:rsidRPr="00D15774">
        <w:t xml:space="preserve">Except as noted below the North Dakota Department of Health Air Quality Division has adopted no regulations comparable to the </w:t>
      </w:r>
      <w:r w:rsidR="00956808" w:rsidRPr="00D15774">
        <w:t>federal</w:t>
      </w:r>
      <w:r w:rsidRPr="00D15774">
        <w:t xml:space="preserve"> NSPS Subpart OOOO for VOC emissions from O&amp;G operations, </w:t>
      </w:r>
      <w:r w:rsidR="00B539C7" w:rsidRPr="00D15774">
        <w:t>although</w:t>
      </w:r>
      <w:r w:rsidRPr="00D15774">
        <w:t xml:space="preserve"> North Dakota, like all western O&amp;G states surveyed, has adopted NSPS Subpart KKK regulations for Leak Detection and Repair (LDAR) at gas plants.  </w:t>
      </w:r>
      <w:r w:rsidR="00173043" w:rsidRPr="00D15774">
        <w:t xml:space="preserve">However none of the states have the 500 ppm </w:t>
      </w:r>
      <w:r w:rsidR="0043445C" w:rsidRPr="00D15774">
        <w:t xml:space="preserve">VOC </w:t>
      </w:r>
      <w:r w:rsidR="00173043" w:rsidRPr="00D15774">
        <w:t>leak threshold required under Subpart OOOO</w:t>
      </w:r>
      <w:r w:rsidR="00D52A77" w:rsidRPr="00D15774">
        <w:t>.</w:t>
      </w:r>
      <w:r w:rsidRPr="00D15774">
        <w:t xml:space="preserve">  North Dakota does have NDAC Section 33-15-07 which requires submerged filling of liquid hydrocarbons to minimize VOC emissions from large (&gt;1000 gallons), and glycol dehydrators with a condenser require temperature monitoring to remain cool enough to be effective.</w:t>
      </w:r>
    </w:p>
    <w:p w:rsidR="003A78E5" w:rsidRPr="00D15774" w:rsidRDefault="003A78E5">
      <w:pPr>
        <w:widowControl w:val="0"/>
        <w:spacing w:line="300" w:lineRule="auto"/>
      </w:pPr>
    </w:p>
    <w:p w:rsidR="00456117" w:rsidRPr="00D15774" w:rsidRDefault="00BF1E23" w:rsidP="00B718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rPr>
          <w:b/>
          <w:color w:val="365F91" w:themeColor="accent1" w:themeShade="BF"/>
        </w:rPr>
      </w:pPr>
      <w:r>
        <w:t>Instead of minor source permitting requirements for oil and gas wells, North Dakota requires O&amp;G production facilities to register according to Chapter 33-15-20 in lieu of a permit.</w:t>
      </w:r>
      <w:r w:rsidR="003A78E5" w:rsidRPr="00D15774">
        <w:t xml:space="preserve">  To insure compliance the “</w:t>
      </w:r>
      <w:r w:rsidR="003A78E5" w:rsidRPr="00D15774">
        <w:rPr>
          <w:b/>
          <w:u w:val="single"/>
        </w:rPr>
        <w:t>Bakken Pool Oil and Gas Production Facilities Air Pollution Control Permitting &amp; Compliance Guidance</w:t>
      </w:r>
      <w:r w:rsidR="003A78E5" w:rsidRPr="00D15774">
        <w:t>” is followed when calculating and selecting control equipment f</w:t>
      </w:r>
      <w:r w:rsidR="000B7AC0" w:rsidRPr="00D15774">
        <w:t xml:space="preserve">or tank vapor controls.  </w:t>
      </w:r>
      <w:r w:rsidR="004D788B" w:rsidRPr="00D15774">
        <w:t>This Bakken Pool O&amp;G Guidance is available at</w:t>
      </w:r>
      <w:r w:rsidR="000B7AC0" w:rsidRPr="00D15774">
        <w:t xml:space="preserve">:  </w:t>
      </w:r>
      <w:hyperlink r:id="rId29" w:history="1">
        <w:r w:rsidR="000B7AC0" w:rsidRPr="00D15774">
          <w:rPr>
            <w:rStyle w:val="Hyperlink"/>
            <w:b w:val="0"/>
            <w:color w:val="365F91" w:themeColor="accent1" w:themeShade="BF"/>
            <w:sz w:val="24"/>
            <w:szCs w:val="20"/>
          </w:rPr>
          <w:t>http://www.ndhealth.gov/AQ/OilAndGasWells_files/New%20Guidance%20O&amp;G%20Files/20110502Oil%20%20Gas%20Permitting%20Guidance.pdf</w:t>
        </w:r>
      </w:hyperlink>
    </w:p>
    <w:p w:rsidR="00456117" w:rsidRPr="00D15774" w:rsidRDefault="00456117" w:rsidP="00B718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rPr>
          <w:b/>
          <w:color w:val="365F91" w:themeColor="accent1" w:themeShade="BF"/>
        </w:rPr>
      </w:pPr>
    </w:p>
    <w:p w:rsidR="00B7184C" w:rsidRPr="00D15774" w:rsidRDefault="00456117" w:rsidP="00B718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rPr>
          <w:color w:val="000000"/>
          <w:szCs w:val="24"/>
        </w:rPr>
      </w:pPr>
      <w:r w:rsidRPr="00D15774">
        <w:t xml:space="preserve">This Bakken Pool O&amp;G Guidance </w:t>
      </w:r>
      <w:r w:rsidR="00B7184C" w:rsidRPr="00D15774">
        <w:t xml:space="preserve">requires that tanks constructed after </w:t>
      </w:r>
      <w:r w:rsidR="00B7184C" w:rsidRPr="00D15774">
        <w:rPr>
          <w:color w:val="000000"/>
          <w:szCs w:val="24"/>
        </w:rPr>
        <w:t>June 1,</w:t>
      </w:r>
      <w:r w:rsidR="004430EA" w:rsidRPr="00D15774">
        <w:rPr>
          <w:color w:val="000000"/>
          <w:szCs w:val="24"/>
        </w:rPr>
        <w:t xml:space="preserve"> </w:t>
      </w:r>
      <w:r w:rsidR="00B7184C" w:rsidRPr="00D15774">
        <w:rPr>
          <w:color w:val="000000"/>
          <w:szCs w:val="24"/>
        </w:rPr>
        <w:t xml:space="preserve">2011 must control </w:t>
      </w:r>
      <w:r w:rsidR="004430EA" w:rsidRPr="00D15774">
        <w:rPr>
          <w:color w:val="000000"/>
          <w:szCs w:val="24"/>
        </w:rPr>
        <w:t xml:space="preserve">total </w:t>
      </w:r>
      <w:r w:rsidR="00B7184C" w:rsidRPr="00D15774">
        <w:rPr>
          <w:color w:val="000000"/>
          <w:szCs w:val="24"/>
        </w:rPr>
        <w:t xml:space="preserve">VOC </w:t>
      </w:r>
      <w:r w:rsidR="004430EA" w:rsidRPr="00D15774">
        <w:rPr>
          <w:color w:val="000000"/>
          <w:szCs w:val="24"/>
        </w:rPr>
        <w:t xml:space="preserve">emissions from Flashing and from Standing/Working/Breathing losses </w:t>
      </w:r>
      <w:r w:rsidR="00B7184C" w:rsidRPr="00D15774">
        <w:rPr>
          <w:color w:val="000000"/>
          <w:szCs w:val="24"/>
        </w:rPr>
        <w:t>by at least 90% (</w:t>
      </w:r>
      <w:r w:rsidR="004430EA" w:rsidRPr="00D15774">
        <w:rPr>
          <w:color w:val="000000"/>
          <w:szCs w:val="24"/>
        </w:rPr>
        <w:t xml:space="preserve">the </w:t>
      </w:r>
      <w:r w:rsidR="00B7184C" w:rsidRPr="00D15774">
        <w:rPr>
          <w:color w:val="000000"/>
          <w:szCs w:val="24"/>
        </w:rPr>
        <w:t xml:space="preserve">control </w:t>
      </w:r>
      <w:r w:rsidR="004430EA" w:rsidRPr="00D15774">
        <w:rPr>
          <w:color w:val="000000"/>
          <w:szCs w:val="24"/>
        </w:rPr>
        <w:t xml:space="preserve">efficiency requirement is </w:t>
      </w:r>
      <w:r w:rsidR="00B7184C" w:rsidRPr="00D15774">
        <w:rPr>
          <w:color w:val="000000"/>
          <w:szCs w:val="24"/>
        </w:rPr>
        <w:t>raised to 98% if the VOC Potential to Emit (PTE) is equal to or greater than 20 TPY</w:t>
      </w:r>
      <w:r w:rsidR="004430EA" w:rsidRPr="00D15774">
        <w:rPr>
          <w:color w:val="000000"/>
          <w:szCs w:val="24"/>
        </w:rPr>
        <w:t xml:space="preserve"> from a tank</w:t>
      </w:r>
      <w:r w:rsidR="00B7184C" w:rsidRPr="00D15774">
        <w:rPr>
          <w:color w:val="000000"/>
          <w:szCs w:val="24"/>
        </w:rPr>
        <w:t>).</w:t>
      </w:r>
    </w:p>
    <w:p w:rsidR="00DE15C3" w:rsidRPr="00D15774" w:rsidRDefault="00DE15C3" w:rsidP="00B718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rPr>
          <w:color w:val="000000"/>
          <w:szCs w:val="24"/>
        </w:rPr>
      </w:pPr>
    </w:p>
    <w:p w:rsidR="00261C42" w:rsidRPr="00D15774" w:rsidRDefault="00AF5D4C" w:rsidP="00261C42">
      <w:pPr>
        <w:widowControl w:val="0"/>
        <w:spacing w:line="300" w:lineRule="auto"/>
      </w:pPr>
      <w:r w:rsidRPr="00D15774">
        <w:t xml:space="preserve">Regarding NOx, North Dakota has adopted the combustion control NSPS standards (boiler Subparts Db and Dc, engine/turbine Subparts IIII, JJJJ and KKKK).  </w:t>
      </w:r>
      <w:r w:rsidR="007F7BF6" w:rsidRPr="00D15774">
        <w:t>The state’s permitting threshold for that pollutant is 100 TPY</w:t>
      </w:r>
      <w:r w:rsidR="0030388D">
        <w:t xml:space="preserve">.  Other than O&amp;G sources (see </w:t>
      </w:r>
      <w:r w:rsidR="00D73213">
        <w:t xml:space="preserve">O&amp;G </w:t>
      </w:r>
      <w:r w:rsidR="0030388D">
        <w:t xml:space="preserve">registration requirements </w:t>
      </w:r>
      <w:r w:rsidR="00D73213">
        <w:t>above</w:t>
      </w:r>
      <w:r w:rsidR="0030388D">
        <w:t>), m</w:t>
      </w:r>
      <w:r w:rsidR="007F7BF6" w:rsidRPr="00D15774">
        <w:t xml:space="preserve">inor </w:t>
      </w:r>
      <w:r w:rsidR="00D73213">
        <w:t>NOx emitter</w:t>
      </w:r>
      <w:r w:rsidR="007F7BF6" w:rsidRPr="00D15774">
        <w:t xml:space="preserve">s </w:t>
      </w:r>
      <w:r w:rsidR="0030388D">
        <w:t xml:space="preserve">under that 100 TPY threshold are subject to minor source permitting, but </w:t>
      </w:r>
      <w:r w:rsidR="007F7BF6" w:rsidRPr="00D15774">
        <w:t xml:space="preserve">do not undergo a BACT review.  Regarding major sources </w:t>
      </w:r>
      <w:r w:rsidRPr="00D15774">
        <w:t xml:space="preserve">although the NSPS represent the ceiling for NOx limits in </w:t>
      </w:r>
      <w:r w:rsidR="00C86035" w:rsidRPr="00D15774">
        <w:t>major</w:t>
      </w:r>
      <w:r w:rsidRPr="00D15774">
        <w:t xml:space="preserve"> source permits, </w:t>
      </w:r>
      <w:r w:rsidR="00DE15C3" w:rsidRPr="00D15774">
        <w:t xml:space="preserve">BACT may drive emissions lower if </w:t>
      </w:r>
      <w:r w:rsidRPr="00D15774">
        <w:t xml:space="preserve">review shows controls to be </w:t>
      </w:r>
      <w:r w:rsidR="00DE15C3" w:rsidRPr="00D15774">
        <w:t>technically feasible and economically reasonable</w:t>
      </w:r>
      <w:r w:rsidRPr="00D15774">
        <w:t>.</w:t>
      </w:r>
      <w:r w:rsidR="00261C42" w:rsidRPr="00D15774">
        <w:t xml:space="preserve"> </w:t>
      </w:r>
    </w:p>
    <w:p w:rsidR="00261C42" w:rsidRPr="00D15774" w:rsidRDefault="00261C42" w:rsidP="00261C42">
      <w:pPr>
        <w:widowControl w:val="0"/>
        <w:spacing w:line="300" w:lineRule="auto"/>
      </w:pPr>
    </w:p>
    <w:p w:rsidR="00261C42" w:rsidRPr="00D15774" w:rsidRDefault="00261C42" w:rsidP="00261C42">
      <w:pPr>
        <w:widowControl w:val="0"/>
        <w:spacing w:line="300" w:lineRule="auto"/>
      </w:pPr>
      <w:r w:rsidRPr="00D15774">
        <w:rPr>
          <w:szCs w:val="24"/>
          <w:lang w:val="en-CA"/>
        </w:rPr>
        <w:t>Regarding Nonroad Mobile Sources, the federal</w:t>
      </w:r>
      <w:r w:rsidRPr="00D15774">
        <w:rPr>
          <w:color w:val="000000"/>
          <w:szCs w:val="24"/>
        </w:rPr>
        <w:t xml:space="preserve"> Tier Standards take precedence.  </w:t>
      </w:r>
      <w:r w:rsidR="0098006D" w:rsidRPr="00D15774">
        <w:rPr>
          <w:color w:val="000000"/>
          <w:szCs w:val="24"/>
        </w:rPr>
        <w:t>North Dakota</w:t>
      </w:r>
      <w:r w:rsidRPr="00D15774">
        <w:rPr>
          <w:color w:val="000000"/>
          <w:szCs w:val="24"/>
        </w:rPr>
        <w:t xml:space="preserve"> has no separate state restrictions for temporary CI or SI-ICE.</w:t>
      </w:r>
    </w:p>
    <w:p w:rsidR="00333F33" w:rsidRPr="00D15774" w:rsidRDefault="00333F33" w:rsidP="00AF5D4C">
      <w:pPr>
        <w:widowControl w:val="0"/>
        <w:spacing w:line="300" w:lineRule="auto"/>
      </w:pPr>
    </w:p>
    <w:p w:rsidR="008A07D5" w:rsidRPr="00B26379" w:rsidRDefault="00042617">
      <w:pPr>
        <w:widowControl w:val="0"/>
        <w:spacing w:line="300" w:lineRule="auto"/>
        <w:rPr>
          <w:u w:val="single"/>
        </w:rPr>
      </w:pPr>
      <w:bookmarkStart w:id="58" w:name="_Toc369087008"/>
      <w:r w:rsidRPr="00B26379">
        <w:rPr>
          <w:rStyle w:val="Heading3Char"/>
          <w:rFonts w:ascii="Times New Roman" w:hAnsi="Times New Roman" w:cs="Times New Roman"/>
          <w:u w:val="single"/>
        </w:rPr>
        <w:t>Utah</w:t>
      </w:r>
      <w:bookmarkEnd w:id="58"/>
      <w:r w:rsidR="00E21C92" w:rsidRPr="00B26379">
        <w:rPr>
          <w:u w:val="single"/>
        </w:rPr>
        <w:fldChar w:fldCharType="begin"/>
      </w:r>
      <w:r w:rsidRPr="00B26379">
        <w:rPr>
          <w:b/>
          <w:u w:val="single"/>
        </w:rPr>
        <w:instrText xml:space="preserve"> TC \l3 "</w:instrText>
      </w:r>
      <w:bookmarkStart w:id="59" w:name="_Toc363192331"/>
      <w:r w:rsidRPr="00B26379">
        <w:rPr>
          <w:b/>
          <w:u w:val="single"/>
        </w:rPr>
        <w:instrText>Utah</w:instrText>
      </w:r>
      <w:bookmarkEnd w:id="59"/>
      <w:r w:rsidR="00E21C92" w:rsidRPr="00B26379">
        <w:rPr>
          <w:u w:val="single"/>
        </w:rPr>
        <w:fldChar w:fldCharType="end"/>
      </w:r>
      <w:r w:rsidRPr="00B26379">
        <w:rPr>
          <w:u w:val="single"/>
        </w:rPr>
        <w:t xml:space="preserve">  </w:t>
      </w:r>
    </w:p>
    <w:p w:rsidR="00266328" w:rsidRPr="00D15774" w:rsidRDefault="00042617">
      <w:pPr>
        <w:widowControl w:val="0"/>
        <w:spacing w:line="300" w:lineRule="auto"/>
      </w:pPr>
      <w:r w:rsidRPr="00D15774">
        <w:t xml:space="preserve">Except as noted below the Utah Department of </w:t>
      </w:r>
      <w:r w:rsidR="0099797E" w:rsidRPr="00D15774">
        <w:t>E</w:t>
      </w:r>
      <w:r w:rsidR="001B754B" w:rsidRPr="00D15774">
        <w:t>nviron</w:t>
      </w:r>
      <w:r w:rsidRPr="00D15774">
        <w:t xml:space="preserve">mental Quality (DEQ) has adopted no </w:t>
      </w:r>
      <w:r w:rsidRPr="00D15774">
        <w:lastRenderedPageBreak/>
        <w:t xml:space="preserve">regulations comparable to the </w:t>
      </w:r>
      <w:r w:rsidR="00DB6342" w:rsidRPr="00D15774">
        <w:t>f</w:t>
      </w:r>
      <w:r w:rsidR="00956808" w:rsidRPr="00D15774">
        <w:t>ederal</w:t>
      </w:r>
      <w:r w:rsidRPr="00D15774">
        <w:t xml:space="preserve"> NSPS Subpart OOOO for VOC emissions from O&amp;G operations, </w:t>
      </w:r>
      <w:r w:rsidR="00B539C7" w:rsidRPr="00D15774">
        <w:t>although</w:t>
      </w:r>
      <w:r w:rsidRPr="00D15774">
        <w:t xml:space="preserve"> Utah, like all western O&amp;G states surveyed, has adopted NSPS Subpart KKK regulations for Leak Detection and Repair (LDAR) at gas plants.  </w:t>
      </w:r>
      <w:r w:rsidR="00173043" w:rsidRPr="00D15774">
        <w:t xml:space="preserve">However none of the states have the 500 ppm </w:t>
      </w:r>
      <w:r w:rsidR="0043445C" w:rsidRPr="00D15774">
        <w:t xml:space="preserve">VOC </w:t>
      </w:r>
      <w:r w:rsidR="00173043" w:rsidRPr="00D15774">
        <w:t>leak threshold required under Subpart OOOO.</w:t>
      </w:r>
    </w:p>
    <w:p w:rsidR="00266328" w:rsidRPr="00D15774" w:rsidRDefault="00266328">
      <w:pPr>
        <w:widowControl w:val="0"/>
        <w:spacing w:line="300" w:lineRule="auto"/>
      </w:pPr>
    </w:p>
    <w:p w:rsidR="00042617" w:rsidRPr="00D15774" w:rsidRDefault="00042617">
      <w:pPr>
        <w:widowControl w:val="0"/>
        <w:spacing w:line="300" w:lineRule="auto"/>
      </w:pPr>
      <w:r w:rsidRPr="00D15774">
        <w:t xml:space="preserve">Utah does have an existing regulations for hydrocarbon storage tanks in ozone nonattainment areas (R307-327) which requires large tanks (&gt; 40,000 gallons) with high vapor pressure (TVP &gt; 1.52 psia at storage temperature) to be controlled to minimize vapor loss (new tanks shall be fitted with an internal floating roof resting on the liquid surface), but the only areas that regulation applies to are Salt Lake </w:t>
      </w:r>
      <w:r w:rsidR="00B539C7" w:rsidRPr="00D15774">
        <w:t>and</w:t>
      </w:r>
      <w:r w:rsidRPr="00D15774">
        <w:t xml:space="preserve"> Davis Counties.  Since the Uinta Basin is located </w:t>
      </w:r>
      <w:r w:rsidR="00B539C7" w:rsidRPr="00D15774">
        <w:t>in</w:t>
      </w:r>
      <w:r w:rsidRPr="00D15774">
        <w:t xml:space="preserve"> </w:t>
      </w:r>
      <w:r w:rsidR="00B539C7" w:rsidRPr="00D15774">
        <w:t>north</w:t>
      </w:r>
      <w:r w:rsidRPr="00D15774">
        <w:t xml:space="preserve">east </w:t>
      </w:r>
      <w:r w:rsidR="00B539C7" w:rsidRPr="00D15774">
        <w:t xml:space="preserve">Utah and does not include </w:t>
      </w:r>
      <w:r w:rsidRPr="00D15774">
        <w:t>these two nonattainment counties, the regulation does</w:t>
      </w:r>
      <w:r w:rsidR="00B539C7" w:rsidRPr="00D15774">
        <w:t xml:space="preserve"> </w:t>
      </w:r>
      <w:r w:rsidRPr="00D15774">
        <w:t>n</w:t>
      </w:r>
      <w:r w:rsidR="00B539C7" w:rsidRPr="00D15774">
        <w:t>o</w:t>
      </w:r>
      <w:r w:rsidRPr="00D15774">
        <w:t>t apply to the Utah O&amp;G operations.</w:t>
      </w:r>
    </w:p>
    <w:p w:rsidR="00042617" w:rsidRPr="00D15774" w:rsidRDefault="00042617">
      <w:pPr>
        <w:widowControl w:val="0"/>
        <w:spacing w:line="300" w:lineRule="auto"/>
      </w:pPr>
    </w:p>
    <w:p w:rsidR="00042617" w:rsidRPr="00D15774" w:rsidRDefault="00042617">
      <w:pPr>
        <w:widowControl w:val="0"/>
        <w:spacing w:line="300" w:lineRule="auto"/>
      </w:pPr>
      <w:r w:rsidRPr="00D15774">
        <w:t xml:space="preserve">Regarding minor source permits UAC Rule 307-401-9 exempts sources from NSR permitting with controlled emissions below deminimus levels (PTE&lt; 5 tpy each PM10, NOx, SOx, CO, VOCs, or single HAP &lt; 500 lbs per year, combined HAP &lt; 1 tpy).  These rules </w:t>
      </w:r>
      <w:r w:rsidR="00B539C7" w:rsidRPr="00D15774">
        <w:t>do not</w:t>
      </w:r>
      <w:r w:rsidRPr="00D15774">
        <w:t xml:space="preserve"> apply to Indian Country.</w:t>
      </w:r>
    </w:p>
    <w:p w:rsidR="00FB4F86" w:rsidRPr="00D15774" w:rsidRDefault="00FB4F86">
      <w:pPr>
        <w:widowControl w:val="0"/>
        <w:spacing w:line="300" w:lineRule="auto"/>
      </w:pPr>
    </w:p>
    <w:p w:rsidR="0098006D" w:rsidRPr="00D15774" w:rsidRDefault="00FB4F86" w:rsidP="0098006D">
      <w:pPr>
        <w:widowControl w:val="0"/>
        <w:spacing w:line="300" w:lineRule="auto"/>
      </w:pPr>
      <w:r w:rsidRPr="00D15774">
        <w:t xml:space="preserve">Regarding NOx, </w:t>
      </w:r>
      <w:r w:rsidR="002C7AD1" w:rsidRPr="00D15774">
        <w:t xml:space="preserve">Utah </w:t>
      </w:r>
      <w:r w:rsidRPr="00D15774">
        <w:t xml:space="preserve">has adopted the combustion control NSPS standards (boiler Subparts Db and Dc, engine/turbine Subparts IIII, JJJJ and KKKK).  The state’s permitting threshold for that pollutant is 5 TPY, and minor sources </w:t>
      </w:r>
      <w:r w:rsidR="002C7AD1" w:rsidRPr="00D15774">
        <w:t xml:space="preserve">between 5-100 TPY </w:t>
      </w:r>
      <w:r w:rsidRPr="00D15774">
        <w:t xml:space="preserve">do undergo a BACT review.  So for this state </w:t>
      </w:r>
      <w:r w:rsidR="002C7AD1" w:rsidRPr="00D15774">
        <w:t xml:space="preserve">although </w:t>
      </w:r>
      <w:r w:rsidRPr="00D15774">
        <w:t>the NSPS represent the ceiling for NOx limits in minor source permits</w:t>
      </w:r>
      <w:r w:rsidR="002C7AD1" w:rsidRPr="00D15774">
        <w:t>, BACT may drive emissions lower if review shows controls to be technically feasible and economically reasonable.</w:t>
      </w:r>
      <w:r w:rsidR="0098006D" w:rsidRPr="00D15774">
        <w:t xml:space="preserve"> </w:t>
      </w:r>
    </w:p>
    <w:p w:rsidR="0098006D" w:rsidRPr="00D15774" w:rsidRDefault="0098006D" w:rsidP="0098006D">
      <w:pPr>
        <w:widowControl w:val="0"/>
        <w:spacing w:line="300" w:lineRule="auto"/>
      </w:pPr>
    </w:p>
    <w:p w:rsidR="0098006D" w:rsidRPr="00D15774" w:rsidRDefault="0098006D" w:rsidP="0098006D">
      <w:pPr>
        <w:widowControl w:val="0"/>
        <w:spacing w:line="300" w:lineRule="auto"/>
      </w:pPr>
      <w:r w:rsidRPr="00D15774">
        <w:rPr>
          <w:szCs w:val="24"/>
          <w:lang w:val="en-CA"/>
        </w:rPr>
        <w:t>Regarding Nonroad Mobile Sources, the federal</w:t>
      </w:r>
      <w:r w:rsidRPr="00D15774">
        <w:rPr>
          <w:color w:val="000000"/>
          <w:szCs w:val="24"/>
        </w:rPr>
        <w:t xml:space="preserve"> Tier Standards take precedence.  Utah has no separate state restrictions for temporary CI or SI-ICE.</w:t>
      </w:r>
    </w:p>
    <w:p w:rsidR="00042617" w:rsidRPr="00D15774" w:rsidRDefault="00042617">
      <w:pPr>
        <w:widowControl w:val="0"/>
        <w:spacing w:line="300" w:lineRule="auto"/>
      </w:pPr>
    </w:p>
    <w:p w:rsidR="008A07D5" w:rsidRPr="00B26379" w:rsidRDefault="00042617">
      <w:pPr>
        <w:widowControl w:val="0"/>
        <w:spacing w:line="300" w:lineRule="auto"/>
        <w:rPr>
          <w:u w:val="single"/>
        </w:rPr>
      </w:pPr>
      <w:bookmarkStart w:id="60" w:name="_Toc369087009"/>
      <w:r w:rsidRPr="00B26379">
        <w:rPr>
          <w:rStyle w:val="Heading3Char"/>
          <w:rFonts w:ascii="Times New Roman" w:hAnsi="Times New Roman" w:cs="Times New Roman"/>
          <w:u w:val="single"/>
        </w:rPr>
        <w:t>Wyoming</w:t>
      </w:r>
      <w:bookmarkEnd w:id="60"/>
      <w:r w:rsidR="00E21C92" w:rsidRPr="00B26379">
        <w:rPr>
          <w:highlight w:val="green"/>
          <w:u w:val="single"/>
        </w:rPr>
        <w:fldChar w:fldCharType="begin"/>
      </w:r>
      <w:r w:rsidRPr="00B26379">
        <w:rPr>
          <w:b/>
          <w:highlight w:val="green"/>
          <w:u w:val="single"/>
        </w:rPr>
        <w:instrText xml:space="preserve"> TC \l3 "</w:instrText>
      </w:r>
      <w:bookmarkStart w:id="61" w:name="_Toc363192332"/>
      <w:r w:rsidRPr="00B26379">
        <w:rPr>
          <w:b/>
          <w:highlight w:val="green"/>
          <w:u w:val="single"/>
        </w:rPr>
        <w:instrText>Wyoming</w:instrText>
      </w:r>
      <w:bookmarkEnd w:id="61"/>
      <w:r w:rsidR="00E21C92" w:rsidRPr="00B26379">
        <w:rPr>
          <w:highlight w:val="green"/>
          <w:u w:val="single"/>
        </w:rPr>
        <w:fldChar w:fldCharType="end"/>
      </w:r>
      <w:r w:rsidRPr="00B26379">
        <w:rPr>
          <w:u w:val="single"/>
        </w:rPr>
        <w:t xml:space="preserve"> </w:t>
      </w:r>
      <w:r w:rsidR="00832071" w:rsidRPr="00B26379">
        <w:rPr>
          <w:u w:val="single"/>
        </w:rPr>
        <w:t xml:space="preserve"> </w:t>
      </w:r>
    </w:p>
    <w:p w:rsidR="00042617" w:rsidRPr="00D15774" w:rsidRDefault="00042617">
      <w:pPr>
        <w:widowControl w:val="0"/>
        <w:spacing w:line="300" w:lineRule="auto"/>
      </w:pPr>
      <w:r w:rsidRPr="00D15774">
        <w:t xml:space="preserve">The Wyoming Department of </w:t>
      </w:r>
      <w:r w:rsidR="0099797E" w:rsidRPr="00D15774">
        <w:t>E</w:t>
      </w:r>
      <w:r w:rsidR="0095597E" w:rsidRPr="00D15774">
        <w:t>nviron</w:t>
      </w:r>
      <w:r w:rsidRPr="00D15774">
        <w:t xml:space="preserve">mental Quality (DEQ) has adopted several rules which regulate VOC </w:t>
      </w:r>
      <w:r w:rsidR="00471F9F" w:rsidRPr="00D15774">
        <w:t xml:space="preserve">and HAP </w:t>
      </w:r>
      <w:r w:rsidRPr="00D15774">
        <w:t>Emissions from O&amp;G pr</w:t>
      </w:r>
      <w:r w:rsidR="00471F9F" w:rsidRPr="00D15774">
        <w:t>oduc</w:t>
      </w:r>
      <w:r w:rsidRPr="00D15774">
        <w:t>tion</w:t>
      </w:r>
      <w:r w:rsidR="00471F9F" w:rsidRPr="00D15774">
        <w:t xml:space="preserve"> facilities </w:t>
      </w:r>
      <w:r w:rsidRPr="00D15774">
        <w:t xml:space="preserve">in the state.  </w:t>
      </w:r>
      <w:r w:rsidR="00471F9F" w:rsidRPr="00D15774">
        <w:t xml:space="preserve">For permitting purposes </w:t>
      </w:r>
      <w:r w:rsidRPr="00D15774">
        <w:t xml:space="preserve">Wyoming has </w:t>
      </w:r>
      <w:r w:rsidR="00471F9F" w:rsidRPr="00D15774">
        <w:t>defined three</w:t>
      </w:r>
      <w:r w:rsidRPr="00D15774">
        <w:t xml:space="preserve"> </w:t>
      </w:r>
      <w:r w:rsidR="00471F9F" w:rsidRPr="00D15774">
        <w:t>specific areas:</w:t>
      </w:r>
      <w:r w:rsidRPr="00D15774">
        <w:t xml:space="preserve"> 1) </w:t>
      </w:r>
      <w:r w:rsidR="00471F9F" w:rsidRPr="00D15774">
        <w:t xml:space="preserve">the </w:t>
      </w:r>
      <w:r w:rsidRPr="00D15774">
        <w:t>Jonah-Pinedale Anticline Development (JPAD), 2) Concentrated Development Areas (CDAs) &amp; 3) Statewide.  CDAs i</w:t>
      </w:r>
      <w:r w:rsidR="008C28E5" w:rsidRPr="00D15774">
        <w:t>nclude Sublette, Lincoln, Uinta,</w:t>
      </w:r>
      <w:r w:rsidRPr="00D15774">
        <w:t xml:space="preserve"> Sweetwater</w:t>
      </w:r>
      <w:r w:rsidR="008C28E5" w:rsidRPr="00D15774">
        <w:t xml:space="preserve"> and</w:t>
      </w:r>
      <w:r w:rsidR="00D40E5D" w:rsidRPr="00D15774">
        <w:t xml:space="preserve"> Carbon</w:t>
      </w:r>
      <w:r w:rsidRPr="00D15774">
        <w:t xml:space="preserve"> Counties which make up the </w:t>
      </w:r>
      <w:r w:rsidR="00D40E5D" w:rsidRPr="00D15774">
        <w:t xml:space="preserve">majority of the </w:t>
      </w:r>
      <w:r w:rsidRPr="00D15774">
        <w:t>Southwest Wyoming Green River Basin, Fremont County which makes up the Wind River Basin of the state</w:t>
      </w:r>
      <w:r w:rsidR="00D40E5D" w:rsidRPr="00D15774">
        <w:t xml:space="preserve"> and </w:t>
      </w:r>
      <w:r w:rsidRPr="00D15774">
        <w:t>Natrona Count</w:t>
      </w:r>
      <w:r w:rsidR="00D40E5D" w:rsidRPr="00D15774">
        <w:t>y which is part of the Powder River Basin of the state.</w:t>
      </w:r>
    </w:p>
    <w:p w:rsidR="00042617" w:rsidRPr="00D15774" w:rsidRDefault="00042617">
      <w:pPr>
        <w:widowControl w:val="0"/>
        <w:spacing w:line="300" w:lineRule="auto"/>
      </w:pPr>
    </w:p>
    <w:p w:rsidR="00042617" w:rsidRPr="00D15774" w:rsidRDefault="00042617">
      <w:pPr>
        <w:widowControl w:val="0"/>
        <w:spacing w:line="300" w:lineRule="auto"/>
      </w:pPr>
      <w:r w:rsidRPr="00D15774">
        <w:t>Chapter 6 Section 2 O&amp;</w:t>
      </w:r>
      <w:r w:rsidR="00B539C7" w:rsidRPr="00D15774">
        <w:t>G Permitting Guidance requires g</w:t>
      </w:r>
      <w:r w:rsidRPr="00D15774">
        <w:t xml:space="preserve">reen </w:t>
      </w:r>
      <w:r w:rsidR="00B539C7" w:rsidRPr="00D15774">
        <w:t>c</w:t>
      </w:r>
      <w:r w:rsidRPr="00D15774">
        <w:t xml:space="preserve">ompletions in </w:t>
      </w:r>
      <w:r w:rsidR="0015477F" w:rsidRPr="00D15774">
        <w:t xml:space="preserve">CDAs for all wells </w:t>
      </w:r>
      <w:r w:rsidRPr="00D15774">
        <w:t xml:space="preserve">as of August 1, 2011.  </w:t>
      </w:r>
      <w:r w:rsidR="0015477F" w:rsidRPr="00D15774">
        <w:t xml:space="preserve">Green Completions have been required in the JAPD area since 2004. </w:t>
      </w:r>
      <w:r w:rsidR="00893792" w:rsidRPr="00D15774">
        <w:t xml:space="preserve"> </w:t>
      </w:r>
      <w:r w:rsidR="0015477F" w:rsidRPr="00D15774">
        <w:t>T</w:t>
      </w:r>
      <w:r w:rsidRPr="00D15774">
        <w:t>h</w:t>
      </w:r>
      <w:r w:rsidR="0015477F" w:rsidRPr="00D15774">
        <w:t>e</w:t>
      </w:r>
      <w:r w:rsidRPr="00D15774">
        <w:t xml:space="preserve"> regulation for the Green River and Wind River Basins, </w:t>
      </w:r>
      <w:r w:rsidR="0015477F" w:rsidRPr="00D15774">
        <w:t>only applies to hydraulically fractured wells.  T</w:t>
      </w:r>
      <w:r w:rsidR="0095597E" w:rsidRPr="00D15774">
        <w:t>he Wyoming r</w:t>
      </w:r>
      <w:r w:rsidRPr="00D15774">
        <w:t>egulation does not currently apply to the Powder River Basin.</w:t>
      </w:r>
    </w:p>
    <w:p w:rsidR="00042617" w:rsidRPr="00D15774" w:rsidRDefault="00042617">
      <w:pPr>
        <w:widowControl w:val="0"/>
        <w:spacing w:line="300" w:lineRule="auto"/>
      </w:pPr>
    </w:p>
    <w:p w:rsidR="00042617" w:rsidRPr="00D15774" w:rsidRDefault="0095597E">
      <w:pPr>
        <w:widowControl w:val="0"/>
        <w:spacing w:line="300" w:lineRule="auto"/>
      </w:pPr>
      <w:r w:rsidRPr="00D15774">
        <w:lastRenderedPageBreak/>
        <w:t>For</w:t>
      </w:r>
      <w:r w:rsidR="00042617" w:rsidRPr="00D15774">
        <w:t xml:space="preserve"> compression Wyoming has no equivalent to the Subpart OOOO regulations for </w:t>
      </w:r>
      <w:r w:rsidR="005C2EF7" w:rsidRPr="00D15774">
        <w:t xml:space="preserve">wet </w:t>
      </w:r>
      <w:r w:rsidR="00042617" w:rsidRPr="00D15774">
        <w:t>seal systems or maintenance schedules to prevent fugitive VOC leaks from the compressor units themselves.</w:t>
      </w:r>
    </w:p>
    <w:p w:rsidR="00042617" w:rsidRPr="00D15774" w:rsidRDefault="00042617">
      <w:pPr>
        <w:widowControl w:val="0"/>
        <w:spacing w:line="300" w:lineRule="auto"/>
      </w:pPr>
    </w:p>
    <w:p w:rsidR="00042617" w:rsidRPr="00D15774" w:rsidRDefault="00042617">
      <w:pPr>
        <w:widowControl w:val="0"/>
        <w:spacing w:line="300" w:lineRule="auto"/>
      </w:pPr>
      <w:r w:rsidRPr="00D15774">
        <w:t xml:space="preserve">Regarding pneumatic controllers, Chapter 6 Section 2 O&amp;G Permitting Guidance requires operators to install low or no-bleed </w:t>
      </w:r>
      <w:r w:rsidR="00B539C7" w:rsidRPr="00D15774">
        <w:t xml:space="preserve">controllers </w:t>
      </w:r>
      <w:r w:rsidRPr="00D15774">
        <w:t xml:space="preserve">at all new facilities.  Upon modification of facilities, new pneumatic controllers must be low/no-bleed and existing controllers must be </w:t>
      </w:r>
      <w:r w:rsidR="00DD18DE" w:rsidRPr="00D15774">
        <w:t>replaced with no/low-bleed</w:t>
      </w:r>
      <w:r w:rsidRPr="00D15774">
        <w:t xml:space="preserve"> (well site facilities only - not gas plants)</w:t>
      </w:r>
      <w:r w:rsidR="00DD18DE" w:rsidRPr="00D15774">
        <w:t>.</w:t>
      </w:r>
      <w:r w:rsidRPr="00D15774">
        <w:t xml:space="preserve">  Once again this is essentially equival</w:t>
      </w:r>
      <w:r w:rsidR="00893792" w:rsidRPr="00D15774">
        <w:t>ent to the Subpart OOOO regulation</w:t>
      </w:r>
      <w:r w:rsidRPr="00D15774">
        <w:t>.</w:t>
      </w:r>
    </w:p>
    <w:p w:rsidR="00F946A7" w:rsidRPr="00D15774" w:rsidRDefault="00F946A7">
      <w:pPr>
        <w:widowControl w:val="0"/>
        <w:spacing w:line="300" w:lineRule="auto"/>
      </w:pPr>
    </w:p>
    <w:p w:rsidR="00042617" w:rsidRPr="00D15774" w:rsidRDefault="00C33E5D">
      <w:pPr>
        <w:widowControl w:val="0"/>
        <w:spacing w:line="300" w:lineRule="auto"/>
      </w:pPr>
      <w:r w:rsidRPr="00D15774">
        <w:t xml:space="preserve">On condensate tanks the federal </w:t>
      </w:r>
      <w:r w:rsidR="00DB6342" w:rsidRPr="00D15774">
        <w:t>regulation</w:t>
      </w:r>
      <w:r w:rsidRPr="00D15774">
        <w:t xml:space="preserve"> calls for 95% control on tanks constructed or modified after August 23, 2011 with PTE of 6 tpy VOC emissions.  </w:t>
      </w:r>
      <w:r w:rsidR="007B5603" w:rsidRPr="00D15774">
        <w:t>The</w:t>
      </w:r>
      <w:r w:rsidR="00042617" w:rsidRPr="00D15774">
        <w:t xml:space="preserve"> Wyoming Chapter 6 Section 2 O&amp;G Permitting Guidance </w:t>
      </w:r>
      <w:r w:rsidR="007B5603" w:rsidRPr="00D15774">
        <w:t>requires</w:t>
      </w:r>
      <w:r w:rsidR="00042617" w:rsidRPr="00D15774">
        <w:t xml:space="preserve"> 98% control </w:t>
      </w:r>
      <w:r w:rsidR="007B5603" w:rsidRPr="00D15774">
        <w:t xml:space="preserve">on startup/modification </w:t>
      </w:r>
      <w:r w:rsidR="00042617" w:rsidRPr="00D15774">
        <w:t>f</w:t>
      </w:r>
      <w:r w:rsidR="007B5603" w:rsidRPr="00D15774">
        <w:t>or</w:t>
      </w:r>
      <w:r w:rsidR="00042617" w:rsidRPr="00D15774">
        <w:t xml:space="preserve"> all </w:t>
      </w:r>
      <w:r w:rsidR="007B5603" w:rsidRPr="00D15774">
        <w:t>tanks in the JAPD area.  In CDAs all</w:t>
      </w:r>
      <w:r w:rsidR="00042617" w:rsidRPr="00D15774">
        <w:t xml:space="preserve"> tank</w:t>
      </w:r>
      <w:r w:rsidR="007B5603" w:rsidRPr="00D15774">
        <w:t xml:space="preserve">s at multiple well </w:t>
      </w:r>
      <w:r w:rsidR="00D40E5D" w:rsidRPr="00D15774">
        <w:t xml:space="preserve">(PAD) </w:t>
      </w:r>
      <w:r w:rsidR="007B5603" w:rsidRPr="00D15774">
        <w:t>facilities must be controlled by 98% upon startup/modification.  Also, in CDAs all tanks at single well facilities with</w:t>
      </w:r>
      <w:r w:rsidR="00042617" w:rsidRPr="00D15774">
        <w:t xml:space="preserve"> ≥8 </w:t>
      </w:r>
      <w:r w:rsidR="0059687A" w:rsidRPr="00D15774">
        <w:t>tpy</w:t>
      </w:r>
      <w:r w:rsidR="00042617" w:rsidRPr="00D15774">
        <w:t xml:space="preserve"> VOC </w:t>
      </w:r>
      <w:r w:rsidR="007B5603" w:rsidRPr="00D15774">
        <w:t>must be controlled by 98% within 60 days of startup/modification.</w:t>
      </w:r>
      <w:r w:rsidR="00042617" w:rsidRPr="00D15774">
        <w:t xml:space="preserve">  </w:t>
      </w:r>
      <w:r w:rsidR="007B5603" w:rsidRPr="00D15774">
        <w:t xml:space="preserve">At other facilities </w:t>
      </w:r>
      <w:r w:rsidR="0099797E" w:rsidRPr="00D15774">
        <w:t xml:space="preserve">statewide, </w:t>
      </w:r>
      <w:r w:rsidR="00042617" w:rsidRPr="00D15774">
        <w:t>all tank</w:t>
      </w:r>
      <w:r w:rsidR="007B5603" w:rsidRPr="00D15774">
        <w:t>s</w:t>
      </w:r>
      <w:r w:rsidR="00042617" w:rsidRPr="00D15774">
        <w:t xml:space="preserve"> </w:t>
      </w:r>
      <w:r w:rsidR="007B5603" w:rsidRPr="00D15774">
        <w:t>with</w:t>
      </w:r>
      <w:r w:rsidR="00042617" w:rsidRPr="00D15774">
        <w:t xml:space="preserve"> ≥10 </w:t>
      </w:r>
      <w:r w:rsidR="0059687A" w:rsidRPr="00D15774">
        <w:t>tpy</w:t>
      </w:r>
      <w:r w:rsidR="00042617" w:rsidRPr="00D15774">
        <w:t xml:space="preserve"> VOC </w:t>
      </w:r>
      <w:r w:rsidR="007B5603" w:rsidRPr="00D15774">
        <w:t xml:space="preserve">must be controlled by 98% </w:t>
      </w:r>
      <w:r w:rsidR="00042617" w:rsidRPr="00D15774">
        <w:t>within 60 days of startup</w:t>
      </w:r>
      <w:r w:rsidR="007B5603" w:rsidRPr="00D15774">
        <w:t>/modification</w:t>
      </w:r>
      <w:r w:rsidR="00042617" w:rsidRPr="00D15774">
        <w:t>.</w:t>
      </w:r>
    </w:p>
    <w:p w:rsidR="00042617" w:rsidRPr="00D15774" w:rsidRDefault="00042617">
      <w:pPr>
        <w:widowControl w:val="0"/>
        <w:spacing w:line="300" w:lineRule="auto"/>
      </w:pPr>
    </w:p>
    <w:p w:rsidR="00042617" w:rsidRPr="00D15774" w:rsidRDefault="00042617">
      <w:pPr>
        <w:widowControl w:val="0"/>
        <w:spacing w:line="300" w:lineRule="auto"/>
      </w:pPr>
      <w:r w:rsidRPr="00D15774">
        <w:t xml:space="preserve">Wyoming, like all western O&amp;G states surveyed, has adopted NSPS Subpart KKK regulations for Leak Detection and Repair (LDAR) at gas plants.  </w:t>
      </w:r>
      <w:r w:rsidR="00173043" w:rsidRPr="00D15774">
        <w:t xml:space="preserve">However none of the states have the 500 ppm </w:t>
      </w:r>
      <w:r w:rsidR="0043445C" w:rsidRPr="00D15774">
        <w:t xml:space="preserve">VOC </w:t>
      </w:r>
      <w:r w:rsidR="00173043" w:rsidRPr="00D15774">
        <w:t>leak threshold required under Subpart OOOO.</w:t>
      </w:r>
    </w:p>
    <w:p w:rsidR="00042617" w:rsidRPr="00D15774" w:rsidRDefault="00042617">
      <w:pPr>
        <w:widowControl w:val="0"/>
        <w:spacing w:line="300" w:lineRule="auto"/>
      </w:pPr>
    </w:p>
    <w:p w:rsidR="00042617" w:rsidRPr="00D15774" w:rsidRDefault="0095597E">
      <w:pPr>
        <w:widowControl w:val="0"/>
        <w:spacing w:line="300" w:lineRule="auto"/>
      </w:pPr>
      <w:r w:rsidRPr="00D15774">
        <w:t>For</w:t>
      </w:r>
      <w:r w:rsidR="00042617" w:rsidRPr="00D15774">
        <w:t xml:space="preserve"> glycol dehydrators the </w:t>
      </w:r>
      <w:r w:rsidR="00956808" w:rsidRPr="00D15774">
        <w:t>federal</w:t>
      </w:r>
      <w:r w:rsidR="00042617" w:rsidRPr="00D15774">
        <w:t xml:space="preserve"> </w:t>
      </w:r>
      <w:r w:rsidR="001832BA" w:rsidRPr="00D15774">
        <w:t>rule</w:t>
      </w:r>
      <w:r w:rsidR="00042617" w:rsidRPr="00D15774">
        <w:t xml:space="preserve"> for 95% control on large units and emission limits on smaller dehydrators </w:t>
      </w:r>
      <w:r w:rsidR="00DB70C6" w:rsidRPr="00D15774">
        <w:t xml:space="preserve">varies somewhat from Wyoming requirements.  For the JPAD all dehydration unit emissions must be controlled by </w:t>
      </w:r>
      <w:r w:rsidR="00042617" w:rsidRPr="00D15774">
        <w:t xml:space="preserve">98% </w:t>
      </w:r>
      <w:r w:rsidR="00DB70C6" w:rsidRPr="00D15774">
        <w:t>upon</w:t>
      </w:r>
      <w:r w:rsidR="00042617" w:rsidRPr="00D15774">
        <w:t xml:space="preserve"> </w:t>
      </w:r>
      <w:r w:rsidR="00DB70C6" w:rsidRPr="00D15774">
        <w:t>startup</w:t>
      </w:r>
      <w:r w:rsidR="00042617" w:rsidRPr="00D15774">
        <w:t>/modifi</w:t>
      </w:r>
      <w:r w:rsidR="00DB70C6" w:rsidRPr="00D15774">
        <w:t>cation.  For CDAs and Statewide PAD</w:t>
      </w:r>
      <w:r w:rsidR="001832BA" w:rsidRPr="00D15774">
        <w:t xml:space="preserve"> (multiple well)</w:t>
      </w:r>
      <w:r w:rsidR="00DB70C6" w:rsidRPr="00D15774">
        <w:t xml:space="preserve"> facilities all dehydrators must be controlled by 98% upon startup/modification.   Other than PAD facilities, single </w:t>
      </w:r>
      <w:r w:rsidR="00042617" w:rsidRPr="00D15774">
        <w:t>dehydrat</w:t>
      </w:r>
      <w:r w:rsidR="00DB70C6" w:rsidRPr="00D15774">
        <w:t>ion units with ≥6</w:t>
      </w:r>
      <w:r w:rsidR="00042617" w:rsidRPr="00D15774">
        <w:t xml:space="preserve"> </w:t>
      </w:r>
      <w:r w:rsidR="0059687A" w:rsidRPr="00D15774">
        <w:t>tpy</w:t>
      </w:r>
      <w:r w:rsidR="00DB70C6" w:rsidRPr="00D15774">
        <w:t xml:space="preserve"> </w:t>
      </w:r>
      <w:r w:rsidR="00042617" w:rsidRPr="00D15774">
        <w:t xml:space="preserve">VOC emissions </w:t>
      </w:r>
      <w:r w:rsidR="00DB70C6" w:rsidRPr="00D15774">
        <w:t xml:space="preserve">must be controlled by 98% within 60 days of startup/modification </w:t>
      </w:r>
      <w:r w:rsidR="0099797E" w:rsidRPr="00D15774">
        <w:t xml:space="preserve">or </w:t>
      </w:r>
      <w:r w:rsidR="00DB70C6" w:rsidRPr="00D15774">
        <w:t xml:space="preserve">dehydration units with ≥8 </w:t>
      </w:r>
      <w:r w:rsidR="0059687A" w:rsidRPr="00D15774">
        <w:t>tpy</w:t>
      </w:r>
      <w:r w:rsidR="00DB70C6" w:rsidRPr="00D15774">
        <w:t xml:space="preserve"> VOC emissions must be controlled by 98% within 30 days of startup/modification.  Removal of controls is allowed </w:t>
      </w:r>
      <w:r w:rsidR="00504064" w:rsidRPr="00D15774">
        <w:t>after various elapsed time periods and upon WAQD approval when VOC</w:t>
      </w:r>
      <w:r w:rsidR="00042617" w:rsidRPr="00D15774">
        <w:t xml:space="preserve"> emissions </w:t>
      </w:r>
      <w:r w:rsidR="00504064" w:rsidRPr="00D15774">
        <w:t xml:space="preserve">are less than </w:t>
      </w:r>
      <w:r w:rsidR="00042617" w:rsidRPr="00D15774">
        <w:t xml:space="preserve">6 or 8 </w:t>
      </w:r>
      <w:r w:rsidR="0059687A" w:rsidRPr="00D15774">
        <w:t>tpy</w:t>
      </w:r>
      <w:r w:rsidR="00042617" w:rsidRPr="00D15774">
        <w:t xml:space="preserve"> </w:t>
      </w:r>
      <w:r w:rsidR="00504064" w:rsidRPr="00D15774">
        <w:t xml:space="preserve">depending on whether the dehydrators are equipped with condensers and/or glycol flash tanks, and depending on where the units are located.  For gross emission inventory purposes, the </w:t>
      </w:r>
      <w:r w:rsidR="00956808" w:rsidRPr="00D15774">
        <w:t>federal</w:t>
      </w:r>
      <w:r w:rsidR="00504064" w:rsidRPr="00D15774">
        <w:t xml:space="preserve"> </w:t>
      </w:r>
      <w:r w:rsidR="00DB6342" w:rsidRPr="00D15774">
        <w:t>regulation</w:t>
      </w:r>
      <w:r w:rsidR="00504064" w:rsidRPr="00D15774">
        <w:t xml:space="preserve"> and </w:t>
      </w:r>
      <w:r w:rsidR="00DB70C6" w:rsidRPr="00D15774">
        <w:t>Wyoming</w:t>
      </w:r>
      <w:r w:rsidR="00504064" w:rsidRPr="00D15774">
        <w:t xml:space="preserve"> regulations result in essentially the same control levels.</w:t>
      </w:r>
    </w:p>
    <w:p w:rsidR="00042617" w:rsidRPr="00D15774" w:rsidRDefault="00042617">
      <w:pPr>
        <w:widowControl w:val="0"/>
        <w:spacing w:line="300" w:lineRule="auto"/>
      </w:pPr>
    </w:p>
    <w:p w:rsidR="00042617" w:rsidRPr="00D15774" w:rsidRDefault="00042617">
      <w:pPr>
        <w:widowControl w:val="0"/>
        <w:spacing w:line="300" w:lineRule="auto"/>
      </w:pPr>
      <w:r w:rsidRPr="00D15774">
        <w:t xml:space="preserve">Regarding Wyoming minor source permitting requirements emissions from minor sources must be approved through permitting applied through the WAQSR Chapter 6 Section 2(a)(i) O&amp;G Permitting Guidance.  For VOC emissions ≥8 </w:t>
      </w:r>
      <w:r w:rsidR="0059687A" w:rsidRPr="00D15774">
        <w:t>tpy</w:t>
      </w:r>
      <w:r w:rsidR="00504064" w:rsidRPr="00D15774">
        <w:t xml:space="preserve"> from sources not considered under the Permitting Guidance</w:t>
      </w:r>
      <w:r w:rsidRPr="00D15774">
        <w:t xml:space="preserve">, BACT is considered on case-by-case basis. These rules </w:t>
      </w:r>
      <w:r w:rsidR="00B539C7" w:rsidRPr="00D15774">
        <w:t>do not</w:t>
      </w:r>
      <w:r w:rsidRPr="00D15774">
        <w:t xml:space="preserve"> apply to Indian Country.</w:t>
      </w:r>
    </w:p>
    <w:p w:rsidR="002C7AD1" w:rsidRPr="00D15774" w:rsidRDefault="002C7AD1">
      <w:pPr>
        <w:widowControl w:val="0"/>
        <w:spacing w:line="300" w:lineRule="auto"/>
      </w:pPr>
    </w:p>
    <w:p w:rsidR="002C7AD1" w:rsidRPr="00D15774" w:rsidRDefault="002C7AD1" w:rsidP="002C7AD1">
      <w:pPr>
        <w:widowControl w:val="0"/>
        <w:spacing w:line="300" w:lineRule="auto"/>
      </w:pPr>
      <w:r w:rsidRPr="00D15774">
        <w:t xml:space="preserve">Regarding NOx, Wyoming has adopted the combustion control NSPS standards (boiler Subparts </w:t>
      </w:r>
      <w:r w:rsidRPr="00D15774">
        <w:lastRenderedPageBreak/>
        <w:t>Db and Dc, engine/turbine Subparts IIII, JJJJ and KKKK).  The state has no de minimus permitting threshold for that pollutant, and minor sources between do undergo a BACT review.  So for this state although the NSPS represent the ceiling for NOx limits in minor source permits, BACT may drive emissions lower if review shows controls to be technically feasible and economically reasonable.</w:t>
      </w:r>
    </w:p>
    <w:p w:rsidR="0098006D" w:rsidRPr="00D15774" w:rsidRDefault="0098006D" w:rsidP="0098006D">
      <w:pPr>
        <w:widowControl w:val="0"/>
        <w:spacing w:line="300" w:lineRule="auto"/>
      </w:pPr>
    </w:p>
    <w:p w:rsidR="0098006D" w:rsidRPr="00D15774" w:rsidRDefault="0098006D" w:rsidP="0098006D">
      <w:pPr>
        <w:widowControl w:val="0"/>
        <w:spacing w:line="300" w:lineRule="auto"/>
        <w:rPr>
          <w:color w:val="000000"/>
          <w:szCs w:val="24"/>
        </w:rPr>
      </w:pPr>
      <w:r w:rsidRPr="00D15774">
        <w:rPr>
          <w:szCs w:val="24"/>
          <w:lang w:val="en-CA"/>
        </w:rPr>
        <w:t>Regarding Nonroad Mobile Sources, the federal</w:t>
      </w:r>
      <w:r w:rsidRPr="00D15774">
        <w:rPr>
          <w:color w:val="000000"/>
          <w:szCs w:val="24"/>
        </w:rPr>
        <w:t xml:space="preserve"> Tier Standards take precedence.  </w:t>
      </w:r>
      <w:r w:rsidR="00F855A2" w:rsidRPr="00D15774">
        <w:rPr>
          <w:color w:val="000000"/>
          <w:szCs w:val="24"/>
        </w:rPr>
        <w:t>Wyoming</w:t>
      </w:r>
      <w:r w:rsidRPr="00D15774">
        <w:rPr>
          <w:color w:val="000000"/>
          <w:szCs w:val="24"/>
        </w:rPr>
        <w:t xml:space="preserve"> has no separate state restrictions for temporary CI or SI-ICE.</w:t>
      </w:r>
    </w:p>
    <w:p w:rsidR="0098006D" w:rsidRPr="00D15774" w:rsidRDefault="0098006D" w:rsidP="0098006D">
      <w:pPr>
        <w:widowControl w:val="0"/>
        <w:spacing w:line="300" w:lineRule="auto"/>
        <w:rPr>
          <w:color w:val="000000"/>
          <w:szCs w:val="24"/>
        </w:rPr>
      </w:pPr>
    </w:p>
    <w:p w:rsidR="0098006D" w:rsidRPr="00D15774" w:rsidRDefault="0098006D" w:rsidP="0098006D">
      <w:pPr>
        <w:widowControl w:val="0"/>
        <w:spacing w:line="300" w:lineRule="auto"/>
        <w:rPr>
          <w:color w:val="000000"/>
          <w:szCs w:val="24"/>
        </w:rPr>
      </w:pPr>
      <w:r w:rsidRPr="00D15774">
        <w:rPr>
          <w:color w:val="000000"/>
          <w:szCs w:val="24"/>
        </w:rPr>
        <w:t>Wyoming does have an “Interim Policy” for their Upper Green River Basin ozone non-attainment area however, which allows operators to voluntarily permit temporary drill/workover rig engines in return for receiving future emission credits.  Wyoming AQD does conduct a BACT review of emissions on such permits, thus it is possible that emissions of temporary engines could be restricted to something under Federal Nonroad Mobile emission standards.</w:t>
      </w:r>
    </w:p>
    <w:p w:rsidR="0098006D" w:rsidRPr="00D15774" w:rsidRDefault="0098006D">
      <w:pPr>
        <w:rPr>
          <w:color w:val="000000"/>
          <w:szCs w:val="24"/>
        </w:rPr>
      </w:pPr>
    </w:p>
    <w:p w:rsidR="00042617" w:rsidRPr="008A07D5" w:rsidRDefault="0095597E" w:rsidP="000B0BB8">
      <w:pPr>
        <w:pStyle w:val="Heading2"/>
        <w:rPr>
          <w:rFonts w:ascii="Times New Roman" w:hAnsi="Times New Roman" w:cs="Times New Roman"/>
          <w:color w:val="auto"/>
        </w:rPr>
      </w:pPr>
      <w:bookmarkStart w:id="62" w:name="_Toc369087010"/>
      <w:r w:rsidRPr="008A07D5">
        <w:rPr>
          <w:rFonts w:ascii="Times New Roman" w:hAnsi="Times New Roman" w:cs="Times New Roman"/>
          <w:color w:val="auto"/>
        </w:rPr>
        <w:t>b.  Potential Overlap w</w:t>
      </w:r>
      <w:r w:rsidR="00042617" w:rsidRPr="008A07D5">
        <w:rPr>
          <w:rFonts w:ascii="Times New Roman" w:hAnsi="Times New Roman" w:cs="Times New Roman"/>
          <w:color w:val="auto"/>
        </w:rPr>
        <w:t xml:space="preserve">ith </w:t>
      </w:r>
      <w:r w:rsidRPr="008A07D5">
        <w:rPr>
          <w:rFonts w:ascii="Times New Roman" w:hAnsi="Times New Roman" w:cs="Times New Roman"/>
          <w:color w:val="auto"/>
        </w:rPr>
        <w:t>F</w:t>
      </w:r>
      <w:r w:rsidR="00956808" w:rsidRPr="008A07D5">
        <w:rPr>
          <w:rFonts w:ascii="Times New Roman" w:hAnsi="Times New Roman" w:cs="Times New Roman"/>
          <w:color w:val="auto"/>
        </w:rPr>
        <w:t>ederal</w:t>
      </w:r>
      <w:r w:rsidR="00042617" w:rsidRPr="008A07D5">
        <w:rPr>
          <w:rFonts w:ascii="Times New Roman" w:hAnsi="Times New Roman" w:cs="Times New Roman"/>
          <w:color w:val="auto"/>
        </w:rPr>
        <w:t xml:space="preserve"> O&amp;G Rules</w:t>
      </w:r>
      <w:bookmarkEnd w:id="62"/>
      <w:r w:rsidR="00E21C92" w:rsidRPr="008A07D5">
        <w:rPr>
          <w:rFonts w:ascii="Times New Roman" w:hAnsi="Times New Roman" w:cs="Times New Roman"/>
          <w:color w:val="auto"/>
        </w:rPr>
        <w:fldChar w:fldCharType="begin"/>
      </w:r>
      <w:r w:rsidR="00042617" w:rsidRPr="008A07D5">
        <w:rPr>
          <w:rFonts w:ascii="Times New Roman" w:hAnsi="Times New Roman" w:cs="Times New Roman"/>
          <w:color w:val="auto"/>
        </w:rPr>
        <w:instrText xml:space="preserve"> TC \l2 "</w:instrText>
      </w:r>
      <w:bookmarkStart w:id="63" w:name="_Toc363192333"/>
      <w:r w:rsidR="00042617" w:rsidRPr="008A07D5">
        <w:rPr>
          <w:rFonts w:ascii="Times New Roman" w:hAnsi="Times New Roman" w:cs="Times New Roman"/>
          <w:color w:val="auto"/>
        </w:rPr>
        <w:instrText>b.  Potential Overlap With Federal O&amp;G Rules</w:instrText>
      </w:r>
      <w:bookmarkEnd w:id="63"/>
      <w:r w:rsidR="00E21C92" w:rsidRPr="008A07D5">
        <w:rPr>
          <w:rFonts w:ascii="Times New Roman" w:hAnsi="Times New Roman" w:cs="Times New Roman"/>
          <w:color w:val="auto"/>
        </w:rPr>
        <w:fldChar w:fldCharType="end"/>
      </w:r>
    </w:p>
    <w:p w:rsidR="00042617" w:rsidRPr="00D15774" w:rsidRDefault="00042617">
      <w:pPr>
        <w:keepLines/>
        <w:widowControl w:val="0"/>
        <w:spacing w:line="300" w:lineRule="auto"/>
      </w:pPr>
    </w:p>
    <w:p w:rsidR="00042617" w:rsidRPr="00D15774" w:rsidRDefault="00042617">
      <w:pPr>
        <w:keepLines/>
        <w:widowControl w:val="0"/>
        <w:spacing w:line="300" w:lineRule="auto"/>
      </w:pPr>
      <w:r w:rsidRPr="00D15774">
        <w:t xml:space="preserve">Wyoming and Colorado have several rules with potential overlap as compared with the </w:t>
      </w:r>
      <w:r w:rsidR="00956808" w:rsidRPr="00D15774">
        <w:t>federal</w:t>
      </w:r>
      <w:r w:rsidRPr="00D15774">
        <w:t xml:space="preserve"> O&amp;G </w:t>
      </w:r>
      <w:r w:rsidR="0099797E" w:rsidRPr="00D15774">
        <w:t>r</w:t>
      </w:r>
      <w:r w:rsidRPr="00D15774">
        <w:t>ules</w:t>
      </w:r>
      <w:r w:rsidR="004430EA" w:rsidRPr="00D15774">
        <w:t xml:space="preserve">, as do </w:t>
      </w:r>
      <w:r w:rsidR="007E4177" w:rsidRPr="00D15774">
        <w:t xml:space="preserve">Alaska, </w:t>
      </w:r>
      <w:r w:rsidR="004430EA" w:rsidRPr="00D15774">
        <w:t xml:space="preserve">Montana and North Dakota to a lesser extent.  </w:t>
      </w:r>
      <w:r w:rsidRPr="00D15774">
        <w:t>These areas of potential overlap are explained in more detail in the basin by basin analyses which follow in the next section of this analysis.</w:t>
      </w:r>
    </w:p>
    <w:p w:rsidR="00042617" w:rsidRPr="00D15774" w:rsidRDefault="00042617">
      <w:pPr>
        <w:widowControl w:val="0"/>
        <w:spacing w:line="300" w:lineRule="auto"/>
      </w:pPr>
    </w:p>
    <w:p w:rsidR="00042617" w:rsidRPr="00E47241" w:rsidRDefault="00580598" w:rsidP="000B0BB8">
      <w:pPr>
        <w:pStyle w:val="Heading1"/>
        <w:rPr>
          <w:rFonts w:ascii="Times New Roman" w:hAnsi="Times New Roman" w:cs="Times New Roman"/>
          <w:b/>
          <w:color w:val="auto"/>
          <w:sz w:val="26"/>
          <w:szCs w:val="26"/>
        </w:rPr>
      </w:pPr>
      <w:bookmarkStart w:id="64" w:name="_Toc369087011"/>
      <w:r w:rsidRPr="00E47241">
        <w:rPr>
          <w:rFonts w:ascii="Times New Roman" w:hAnsi="Times New Roman" w:cs="Times New Roman"/>
          <w:b/>
          <w:color w:val="auto"/>
          <w:sz w:val="26"/>
          <w:szCs w:val="26"/>
        </w:rPr>
        <w:t>5</w:t>
      </w:r>
      <w:r w:rsidR="00042617" w:rsidRPr="00E47241">
        <w:rPr>
          <w:rFonts w:ascii="Times New Roman" w:hAnsi="Times New Roman" w:cs="Times New Roman"/>
          <w:b/>
          <w:color w:val="auto"/>
          <w:sz w:val="26"/>
          <w:szCs w:val="26"/>
        </w:rPr>
        <w:t>.  WRAP PHASE III OIL AND NATURAL GAS EMISSION INVENTORIES</w:t>
      </w:r>
      <w:bookmarkEnd w:id="64"/>
      <w:r w:rsidR="00E21C92" w:rsidRPr="00E47241">
        <w:rPr>
          <w:rFonts w:ascii="Times New Roman" w:hAnsi="Times New Roman" w:cs="Times New Roman"/>
          <w:b/>
          <w:color w:val="auto"/>
          <w:sz w:val="26"/>
          <w:szCs w:val="26"/>
        </w:rPr>
        <w:fldChar w:fldCharType="begin"/>
      </w:r>
      <w:r w:rsidR="00042617" w:rsidRPr="00E47241">
        <w:rPr>
          <w:rFonts w:ascii="Times New Roman" w:hAnsi="Times New Roman" w:cs="Times New Roman"/>
          <w:b/>
          <w:color w:val="auto"/>
          <w:sz w:val="26"/>
          <w:szCs w:val="26"/>
        </w:rPr>
        <w:instrText xml:space="preserve"> TC \l1 "</w:instrText>
      </w:r>
      <w:bookmarkStart w:id="65" w:name="_Toc363192334"/>
      <w:r w:rsidR="00042617" w:rsidRPr="00E47241">
        <w:rPr>
          <w:rFonts w:ascii="Times New Roman" w:hAnsi="Times New Roman" w:cs="Times New Roman"/>
          <w:b/>
          <w:color w:val="auto"/>
          <w:sz w:val="26"/>
          <w:szCs w:val="26"/>
        </w:rPr>
        <w:instrText>4.  WRAP PHASE III OIL AND NATURAL GAS EMISSION INVENTORIES</w:instrText>
      </w:r>
      <w:bookmarkEnd w:id="65"/>
      <w:r w:rsidR="00E21C92" w:rsidRPr="00E47241">
        <w:rPr>
          <w:rFonts w:ascii="Times New Roman" w:hAnsi="Times New Roman" w:cs="Times New Roman"/>
          <w:b/>
          <w:color w:val="auto"/>
          <w:sz w:val="26"/>
          <w:szCs w:val="26"/>
        </w:rPr>
        <w:fldChar w:fldCharType="end"/>
      </w:r>
    </w:p>
    <w:p w:rsidR="00042617" w:rsidRPr="00D15774" w:rsidRDefault="00042617">
      <w:pPr>
        <w:widowControl w:val="0"/>
        <w:spacing w:line="300" w:lineRule="auto"/>
      </w:pPr>
    </w:p>
    <w:p w:rsidR="00F92249" w:rsidRPr="00D15774" w:rsidRDefault="00042617" w:rsidP="00F92249">
      <w:pPr>
        <w:widowControl w:val="0"/>
        <w:spacing w:line="300" w:lineRule="auto"/>
      </w:pPr>
      <w:r w:rsidRPr="00D15774">
        <w:t>In late 2005 the WRAP completed the Phase I emission inventory project to estimate for the first time, emissions from oil and natural gas production field operations</w:t>
      </w:r>
      <w:r w:rsidR="00DD19A1" w:rsidRPr="00D15774">
        <w:t xml:space="preserve"> in the Rocky Mountain Region</w:t>
      </w:r>
      <w:r w:rsidRPr="00D15774">
        <w:t xml:space="preserve">.  </w:t>
      </w:r>
      <w:r w:rsidR="00D40E5D" w:rsidRPr="00D15774">
        <w:t xml:space="preserve">The project was focused </w:t>
      </w:r>
      <w:r w:rsidRPr="00D15774">
        <w:t xml:space="preserve">on generating the first complete and consistent area source estimates for pollutant emissions from this </w:t>
      </w:r>
      <w:r w:rsidR="00D40E5D" w:rsidRPr="00D15774">
        <w:t xml:space="preserve">O&amp;G </w:t>
      </w:r>
      <w:r w:rsidRPr="00D15774">
        <w:t xml:space="preserve">source category with the potential to impair visibility </w:t>
      </w:r>
      <w:r w:rsidR="00D40E5D" w:rsidRPr="00D15774">
        <w:t>near Class I areas in the West</w:t>
      </w:r>
      <w:r w:rsidR="00D5558C" w:rsidRPr="00D15774">
        <w:t>.  P</w:t>
      </w:r>
      <w:r w:rsidR="00D40E5D" w:rsidRPr="00D15774">
        <w:t>rimary emphasis</w:t>
      </w:r>
      <w:r w:rsidR="00D5558C" w:rsidRPr="00D15774">
        <w:t xml:space="preserve"> in Phase I was</w:t>
      </w:r>
      <w:r w:rsidR="00D40E5D" w:rsidRPr="00D15774">
        <w:t xml:space="preserve"> placed </w:t>
      </w:r>
      <w:r w:rsidR="00415F17" w:rsidRPr="00D15774">
        <w:t>on</w:t>
      </w:r>
      <w:r w:rsidRPr="00D15774">
        <w:t xml:space="preserve"> NOx.  Discussion of the results from Phase I, uncertainties identified and the availability of additional data then led to the Phase II project, </w:t>
      </w:r>
      <w:r w:rsidR="00D5558C" w:rsidRPr="00D15774">
        <w:t xml:space="preserve">which was </w:t>
      </w:r>
      <w:r w:rsidRPr="00D15774">
        <w:t xml:space="preserve">completed in </w:t>
      </w:r>
      <w:r w:rsidR="00910EC4" w:rsidRPr="00D15774">
        <w:t xml:space="preserve">the </w:t>
      </w:r>
      <w:r w:rsidRPr="00D15774">
        <w:t>Fall</w:t>
      </w:r>
      <w:r w:rsidR="00910EC4" w:rsidRPr="00D15774">
        <w:t xml:space="preserve"> of</w:t>
      </w:r>
      <w:r w:rsidRPr="00D15774">
        <w:t xml:space="preserve"> 2007.  Phase II also focused on NOx</w:t>
      </w:r>
      <w:r w:rsidR="00D5558C" w:rsidRPr="00D15774">
        <w:t>,</w:t>
      </w:r>
      <w:r w:rsidRPr="00D15774">
        <w:t xml:space="preserve"> and </w:t>
      </w:r>
      <w:r w:rsidR="00D5558C" w:rsidRPr="00D15774">
        <w:t xml:space="preserve">added more information on </w:t>
      </w:r>
      <w:r w:rsidRPr="00D15774">
        <w:t>SO</w:t>
      </w:r>
      <w:r w:rsidR="00D5558C" w:rsidRPr="00D15774">
        <w:t>2</w:t>
      </w:r>
      <w:r w:rsidRPr="00D15774">
        <w:t xml:space="preserve"> emissions</w:t>
      </w:r>
      <w:r w:rsidR="00D5558C" w:rsidRPr="00D15774">
        <w:t>, two pollutants significantly</w:t>
      </w:r>
      <w:r w:rsidRPr="00D15774">
        <w:t xml:space="preserve"> affecting regional haze planning</w:t>
      </w:r>
      <w:r w:rsidR="00F92249" w:rsidRPr="00D15774">
        <w:t xml:space="preserve">.  </w:t>
      </w:r>
    </w:p>
    <w:p w:rsidR="00F92249" w:rsidRPr="00D15774" w:rsidRDefault="00F92249">
      <w:pPr>
        <w:widowControl w:val="0"/>
        <w:spacing w:line="300" w:lineRule="auto"/>
      </w:pPr>
    </w:p>
    <w:p w:rsidR="00910EC4" w:rsidRPr="00D15774" w:rsidRDefault="00042617">
      <w:pPr>
        <w:widowControl w:val="0"/>
        <w:spacing w:line="300" w:lineRule="auto"/>
      </w:pPr>
      <w:r w:rsidRPr="00D15774">
        <w:t>Because of remaining uncertainties and completeness issues for O&amp;G inventories, in Fall 2007 the Western Energy Alliance (formerly the Independent Petroleum Association of Mountain States - IPAMS) proposed a plan for funding a Phase III regional oil and gas emission inventory pro</w:t>
      </w:r>
      <w:r w:rsidR="00D5558C" w:rsidRPr="00D15774">
        <w:t>ject for the Intermountain West.  Phase III was</w:t>
      </w:r>
      <w:r w:rsidRPr="00D15774">
        <w:t xml:space="preserve"> to build on the </w:t>
      </w:r>
      <w:r w:rsidR="00D5558C" w:rsidRPr="00D15774">
        <w:t xml:space="preserve">information gathered in </w:t>
      </w:r>
      <w:r w:rsidRPr="00D15774">
        <w:t xml:space="preserve">Phase I and Phase II projects.  The Phase III project </w:t>
      </w:r>
      <w:r w:rsidR="00910EC4" w:rsidRPr="00D15774">
        <w:t xml:space="preserve">was planned and executed in partnership with the WRAP to assure that the products from Phase III were not solely industry centric, but were widely distributed among non-industry stakeholders (State/Local Agencies, Tribal Air Programs, </w:t>
      </w:r>
      <w:r w:rsidR="00910EC4" w:rsidRPr="00D15774">
        <w:lastRenderedPageBreak/>
        <w:t>Federal Land Managers, Environmental Groups and EPA).  WRAP strove to see that review and feedback was solicited from this diverse group of WRAP stakeholders such that the final inventory methodologies were transparent and more universally accepted by all parties interested in and affected by O&amp;G development in the Intermountain West.  Review of the Phase III work products has been done through the WRAP O&amp;G Workgroup</w:t>
      </w:r>
      <w:r w:rsidR="00D5558C" w:rsidRPr="00D15774">
        <w:t>, a large and diverse group of interested O&amp;G stakeholders</w:t>
      </w:r>
      <w:r w:rsidR="00910EC4" w:rsidRPr="00D15774">
        <w:t xml:space="preserve"> (see details at </w:t>
      </w:r>
      <w:hyperlink r:id="rId30" w:history="1">
        <w:r w:rsidR="00910EC4" w:rsidRPr="00D15774">
          <w:rPr>
            <w:color w:val="0000FF"/>
            <w:u w:val="single"/>
          </w:rPr>
          <w:t>http://www.wrapair2.org/Oil_Gas.aspx</w:t>
        </w:r>
      </w:hyperlink>
      <w:r w:rsidR="00910EC4" w:rsidRPr="00D15774">
        <w:t xml:space="preserve"> for more explanation and history).</w:t>
      </w:r>
    </w:p>
    <w:p w:rsidR="00042617" w:rsidRPr="00D15774" w:rsidRDefault="00042617">
      <w:pPr>
        <w:widowControl w:val="0"/>
        <w:spacing w:line="300" w:lineRule="auto"/>
      </w:pPr>
    </w:p>
    <w:p w:rsidR="00042617" w:rsidRPr="00D15774" w:rsidRDefault="00042617">
      <w:pPr>
        <w:widowControl w:val="0"/>
        <w:spacing w:line="300" w:lineRule="auto"/>
      </w:pPr>
      <w:r w:rsidRPr="00D15774">
        <w:t xml:space="preserve">The resulting comprehensive inventories from Phase III cover all criteria pollutant emissions for all identified point and area sources associated with the exploration, production and gathering operations of oil and gas in the major basins </w:t>
      </w:r>
      <w:r w:rsidR="00DD19A1" w:rsidRPr="00D15774">
        <w:t>located in</w:t>
      </w:r>
      <w:r w:rsidRPr="00D15774">
        <w:t xml:space="preserve"> the six-state (CO, MT, NM, ND, UT, and WY) </w:t>
      </w:r>
      <w:r w:rsidR="00D5558C" w:rsidRPr="00D15774">
        <w:t xml:space="preserve">central Rockies </w:t>
      </w:r>
      <w:r w:rsidRPr="00D15774">
        <w:t>study region</w:t>
      </w:r>
      <w:r w:rsidR="00ED2DA0" w:rsidRPr="00D15774">
        <w:t>.  The target</w:t>
      </w:r>
      <w:r w:rsidRPr="00D15774">
        <w:t xml:space="preserve"> base year </w:t>
      </w:r>
      <w:r w:rsidR="00ED2DA0" w:rsidRPr="00D15774">
        <w:t xml:space="preserve">for Phase III was </w:t>
      </w:r>
      <w:r w:rsidRPr="00D15774">
        <w:t>2006.  In addition the</w:t>
      </w:r>
      <w:r w:rsidR="009A14A9" w:rsidRPr="00D15774">
        <w:t xml:space="preserve"> scope of the</w:t>
      </w:r>
      <w:r w:rsidRPr="00D15774">
        <w:t xml:space="preserve"> project i</w:t>
      </w:r>
      <w:r w:rsidR="009A14A9" w:rsidRPr="00D15774">
        <w:t>nclude</w:t>
      </w:r>
      <w:r w:rsidR="00ED2DA0" w:rsidRPr="00D15774">
        <w:t>d</w:t>
      </w:r>
      <w:r w:rsidRPr="00D15774">
        <w:t xml:space="preserve"> completing mid-term projection</w:t>
      </w:r>
      <w:r w:rsidR="00ED2DA0" w:rsidRPr="00D15774">
        <w:t xml:space="preserve">s for six </w:t>
      </w:r>
      <w:r w:rsidRPr="00D15774">
        <w:t>years</w:t>
      </w:r>
      <w:r w:rsidR="00ED2DA0" w:rsidRPr="00D15774">
        <w:t xml:space="preserve"> into the future</w:t>
      </w:r>
      <w:r w:rsidRPr="00D15774">
        <w:t xml:space="preserve">.  Western Energy Alliance and </w:t>
      </w:r>
      <w:r w:rsidR="009A14A9" w:rsidRPr="00D15774">
        <w:t xml:space="preserve">the </w:t>
      </w:r>
      <w:r w:rsidRPr="00D15774">
        <w:t>WRAP coordinate</w:t>
      </w:r>
      <w:r w:rsidR="00ED2DA0" w:rsidRPr="00D15774">
        <w:t>d</w:t>
      </w:r>
      <w:r w:rsidRPr="00D15774">
        <w:t xml:space="preserve"> the data collection and analysis, review and discussion, and inventory data file preparation for each major basin </w:t>
      </w:r>
    </w:p>
    <w:p w:rsidR="00042617" w:rsidRPr="00D15774" w:rsidRDefault="00042617">
      <w:pPr>
        <w:widowControl w:val="0"/>
        <w:spacing w:line="300" w:lineRule="auto"/>
      </w:pPr>
    </w:p>
    <w:p w:rsidR="00042617" w:rsidRPr="00D15774" w:rsidRDefault="00042617">
      <w:pPr>
        <w:widowControl w:val="0"/>
        <w:spacing w:line="300" w:lineRule="auto"/>
      </w:pPr>
      <w:r w:rsidRPr="00D15774">
        <w:t>The O&amp;G basins addressed by the Phase III inventories include the following list:</w:t>
      </w:r>
    </w:p>
    <w:p w:rsidR="00042617" w:rsidRPr="00D15774" w:rsidRDefault="00042617">
      <w:pPr>
        <w:widowControl w:val="0"/>
        <w:spacing w:line="300" w:lineRule="auto"/>
        <w:ind w:left="432" w:hanging="432"/>
      </w:pPr>
      <w:r w:rsidRPr="00D15774">
        <w:t>1)</w:t>
      </w:r>
      <w:r w:rsidRPr="00D15774">
        <w:tab/>
        <w:t>Denver-Julesburg Basin (northeast Colorado)</w:t>
      </w:r>
    </w:p>
    <w:p w:rsidR="00042617" w:rsidRPr="00D15774" w:rsidRDefault="00042617">
      <w:pPr>
        <w:widowControl w:val="0"/>
        <w:spacing w:line="300" w:lineRule="auto"/>
        <w:ind w:left="432" w:hanging="432"/>
      </w:pPr>
      <w:r w:rsidRPr="00D15774">
        <w:t>2)</w:t>
      </w:r>
      <w:r w:rsidRPr="00D15774">
        <w:tab/>
        <w:t>Piceance Basin (</w:t>
      </w:r>
      <w:r w:rsidR="0099797E" w:rsidRPr="00D15774">
        <w:t>north</w:t>
      </w:r>
      <w:r w:rsidRPr="00D15774">
        <w:t>western Colorado)</w:t>
      </w:r>
    </w:p>
    <w:p w:rsidR="00042617" w:rsidRPr="00D15774" w:rsidRDefault="00042617">
      <w:pPr>
        <w:widowControl w:val="0"/>
        <w:spacing w:line="300" w:lineRule="auto"/>
        <w:ind w:left="432" w:hanging="432"/>
      </w:pPr>
      <w:r w:rsidRPr="00D15774">
        <w:t>3)</w:t>
      </w:r>
      <w:r w:rsidRPr="00D15774">
        <w:tab/>
        <w:t>Uinta Basin (</w:t>
      </w:r>
      <w:r w:rsidR="0099797E" w:rsidRPr="00D15774">
        <w:t>north</w:t>
      </w:r>
      <w:r w:rsidRPr="00D15774">
        <w:t>eastern Utah)</w:t>
      </w:r>
    </w:p>
    <w:p w:rsidR="00042617" w:rsidRPr="00D15774" w:rsidRDefault="00042617">
      <w:pPr>
        <w:widowControl w:val="0"/>
        <w:spacing w:line="300" w:lineRule="auto"/>
        <w:ind w:left="432" w:hanging="432"/>
      </w:pPr>
      <w:r w:rsidRPr="00D15774">
        <w:t>4)</w:t>
      </w:r>
      <w:r w:rsidRPr="00D15774">
        <w:tab/>
        <w:t>North San Juan Basin (southwest Colorado)</w:t>
      </w:r>
    </w:p>
    <w:p w:rsidR="00042617" w:rsidRPr="00D15774" w:rsidRDefault="00042617">
      <w:pPr>
        <w:widowControl w:val="0"/>
        <w:spacing w:line="300" w:lineRule="auto"/>
        <w:ind w:left="432" w:hanging="432"/>
      </w:pPr>
      <w:r w:rsidRPr="00D15774">
        <w:t>5)</w:t>
      </w:r>
      <w:r w:rsidRPr="00D15774">
        <w:tab/>
        <w:t>South San Juan Basin (northwest New Mexico)</w:t>
      </w:r>
    </w:p>
    <w:p w:rsidR="00042617" w:rsidRPr="00D15774" w:rsidRDefault="00042617">
      <w:pPr>
        <w:widowControl w:val="0"/>
        <w:spacing w:line="300" w:lineRule="auto"/>
        <w:ind w:left="432" w:hanging="432"/>
      </w:pPr>
      <w:r w:rsidRPr="00D15774">
        <w:t>6)</w:t>
      </w:r>
      <w:r w:rsidRPr="00D15774">
        <w:tab/>
        <w:t>Wind River Basin (central Wyoming)</w:t>
      </w:r>
    </w:p>
    <w:p w:rsidR="00042617" w:rsidRPr="00D15774" w:rsidRDefault="00042617">
      <w:pPr>
        <w:widowControl w:val="0"/>
        <w:spacing w:line="300" w:lineRule="auto"/>
        <w:ind w:left="432" w:hanging="432"/>
      </w:pPr>
      <w:r w:rsidRPr="00D15774">
        <w:t>7)</w:t>
      </w:r>
      <w:r w:rsidRPr="00D15774">
        <w:tab/>
        <w:t>Powder River Basin (northeast Wyoming)</w:t>
      </w:r>
    </w:p>
    <w:p w:rsidR="00042617" w:rsidRPr="00D15774" w:rsidRDefault="00042617">
      <w:pPr>
        <w:widowControl w:val="0"/>
        <w:spacing w:line="300" w:lineRule="auto"/>
        <w:ind w:left="432" w:hanging="432"/>
      </w:pPr>
      <w:r w:rsidRPr="00D15774">
        <w:t>8)</w:t>
      </w:r>
      <w:r w:rsidRPr="00D15774">
        <w:tab/>
        <w:t>Green River Basin (southwest Wyoming)</w:t>
      </w:r>
    </w:p>
    <w:p w:rsidR="00042617" w:rsidRPr="00D15774" w:rsidRDefault="00042617">
      <w:pPr>
        <w:widowControl w:val="0"/>
        <w:spacing w:line="300" w:lineRule="auto"/>
        <w:ind w:left="432" w:hanging="432"/>
      </w:pPr>
      <w:r w:rsidRPr="00D15774">
        <w:t>9)</w:t>
      </w:r>
      <w:r w:rsidRPr="00D15774">
        <w:tab/>
        <w:t>Williston Basin (western North Dakota and eastern Montana)</w:t>
      </w:r>
    </w:p>
    <w:p w:rsidR="0064743C" w:rsidRPr="00D15774" w:rsidRDefault="00042617" w:rsidP="0099797E">
      <w:pPr>
        <w:widowControl w:val="0"/>
        <w:spacing w:before="240" w:line="300" w:lineRule="auto"/>
      </w:pPr>
      <w:r w:rsidRPr="00D15774">
        <w:t xml:space="preserve">Additionally Phase III originally considered three other O&amp;G basins:  </w:t>
      </w:r>
      <w:r w:rsidR="0099797E" w:rsidRPr="00D15774">
        <w:t xml:space="preserve">1) </w:t>
      </w:r>
      <w:r w:rsidRPr="00D15774">
        <w:t xml:space="preserve">the Paradox Basin in southeastern Utah, </w:t>
      </w:r>
      <w:r w:rsidR="0099797E" w:rsidRPr="00D15774">
        <w:t xml:space="preserve">2) </w:t>
      </w:r>
      <w:r w:rsidRPr="00D15774">
        <w:t xml:space="preserve">the Big Horn Basin in northwestern Wyoming and </w:t>
      </w:r>
      <w:r w:rsidR="0099797E" w:rsidRPr="00D15774">
        <w:t xml:space="preserve">3) </w:t>
      </w:r>
      <w:r w:rsidRPr="00D15774">
        <w:t xml:space="preserve">the Montana </w:t>
      </w:r>
      <w:r w:rsidR="00C31746" w:rsidRPr="00D15774">
        <w:t xml:space="preserve">Great </w:t>
      </w:r>
      <w:r w:rsidRPr="00D15774">
        <w:t>Plains in central Montana.  These three</w:t>
      </w:r>
      <w:r w:rsidR="0099797E" w:rsidRPr="00D15774">
        <w:t xml:space="preserve"> ba</w:t>
      </w:r>
      <w:r w:rsidR="0095597E" w:rsidRPr="00D15774">
        <w:t>s</w:t>
      </w:r>
      <w:r w:rsidR="0099797E" w:rsidRPr="00D15774">
        <w:t>ins</w:t>
      </w:r>
      <w:r w:rsidRPr="00D15774">
        <w:t xml:space="preserve"> were dropped from the project when preliminary investigation showed lower O&amp;G activity in these areas and project budgets forced a prioritization of the emission inventories that could be completed with available funding.</w:t>
      </w:r>
      <w:r w:rsidR="0064743C" w:rsidRPr="00D15774">
        <w:t xml:space="preserve"> </w:t>
      </w:r>
    </w:p>
    <w:p w:rsidR="00042617" w:rsidRPr="00D15774" w:rsidRDefault="0064743C" w:rsidP="000B0BB8">
      <w:pPr>
        <w:pStyle w:val="Heading4"/>
        <w:rPr>
          <w:rFonts w:ascii="Times New Roman" w:hAnsi="Times New Roman" w:cs="Times New Roman"/>
        </w:rPr>
      </w:pPr>
      <w:bookmarkStart w:id="66" w:name="_Toc369087012"/>
      <w:r w:rsidRPr="00E47241">
        <w:rPr>
          <w:rFonts w:ascii="Times New Roman" w:hAnsi="Times New Roman" w:cs="Times New Roman"/>
          <w:b w:val="0"/>
          <w:i w:val="0"/>
          <w:color w:val="auto"/>
        </w:rPr>
        <w:t>Figure 1 shows the locations of the O&amp;G Basins in the Rocky Mountain west that were included in the original Scope of the Phase III project</w:t>
      </w:r>
      <w:r w:rsidRPr="00D15774">
        <w:rPr>
          <w:rFonts w:ascii="Times New Roman" w:hAnsi="Times New Roman" w:cs="Times New Roman"/>
        </w:rPr>
        <w:t>.</w:t>
      </w:r>
      <w:bookmarkEnd w:id="66"/>
    </w:p>
    <w:p w:rsidR="008951F6" w:rsidRPr="00D15774" w:rsidRDefault="008951F6">
      <w:pPr>
        <w:widowControl w:val="0"/>
        <w:spacing w:line="300" w:lineRule="auto"/>
      </w:pPr>
    </w:p>
    <w:p w:rsidR="001D0BB0" w:rsidRPr="00D15774" w:rsidRDefault="00362677">
      <w:pPr>
        <w:widowControl w:val="0"/>
        <w:spacing w:line="300" w:lineRule="auto"/>
      </w:pPr>
      <w:r w:rsidRPr="00D15774">
        <w:rPr>
          <w:noProof/>
        </w:rPr>
        <w:lastRenderedPageBreak/>
        <w:drawing>
          <wp:inline distT="0" distB="0" distL="0" distR="0" wp14:anchorId="5BF7EFA3" wp14:editId="51B13883">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3-08_Phase III basin status (08-2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54524" w:rsidRPr="00D15774" w:rsidRDefault="00042617">
      <w:pPr>
        <w:widowControl w:val="0"/>
        <w:spacing w:line="300" w:lineRule="auto"/>
        <w:rPr>
          <w:color w:val="0000FF"/>
          <w:u w:val="single"/>
        </w:rPr>
      </w:pPr>
      <w:r w:rsidRPr="00D15774">
        <w:t xml:space="preserve">Reports and more details of the Phase I and II inventories are found at the archived WRAP website at:  </w:t>
      </w:r>
      <w:hyperlink r:id="rId32" w:history="1">
        <w:r w:rsidRPr="00D15774">
          <w:rPr>
            <w:color w:val="0000FF"/>
            <w:u w:val="single"/>
          </w:rPr>
          <w:t>http://www.wrapair.org/forums/ogwg/Phases_I_and_II_Inventories.html</w:t>
        </w:r>
      </w:hyperlink>
      <w:r w:rsidRPr="00D15774">
        <w:t>.  Work has been completed on all planned Phase III basins to date</w:t>
      </w:r>
      <w:r w:rsidR="00F92249" w:rsidRPr="00D15774">
        <w:t>.</w:t>
      </w:r>
      <w:r w:rsidRPr="00D15774">
        <w:t xml:space="preserve">  Reports, including maps of the </w:t>
      </w:r>
      <w:r w:rsidR="00ED2DA0" w:rsidRPr="00D15774">
        <w:t xml:space="preserve">individual </w:t>
      </w:r>
      <w:r w:rsidRPr="00D15774">
        <w:t xml:space="preserve">basins and the emission source list covered under the project can be accessed from the “Oil &amp; Gas Phase III” link on the “Emissions” tab of the current WRAP webpage at:  </w:t>
      </w:r>
      <w:hyperlink r:id="rId33" w:history="1">
        <w:r w:rsidRPr="00D15774">
          <w:rPr>
            <w:color w:val="0000FF"/>
            <w:u w:val="single"/>
          </w:rPr>
          <w:t>http://www.wrapair2.org/PhaseIII.aspx</w:t>
        </w:r>
      </w:hyperlink>
    </w:p>
    <w:p w:rsidR="00D54524" w:rsidRPr="00D15774" w:rsidRDefault="00D54524">
      <w:pPr>
        <w:widowControl w:val="0"/>
        <w:spacing w:line="300" w:lineRule="auto"/>
      </w:pPr>
      <w:r w:rsidRPr="00D15774">
        <w:lastRenderedPageBreak/>
        <w:t>The federal regulations summarized earlier in this analysis (“Review of New Sources and M</w:t>
      </w:r>
      <w:r w:rsidR="00ED2DA0" w:rsidRPr="00D15774">
        <w:t xml:space="preserve">odifications in Indian Country”, </w:t>
      </w:r>
      <w:r w:rsidRPr="00D15774">
        <w:t>“EPA Oil and Natural Gas Air Regulations”</w:t>
      </w:r>
      <w:r w:rsidR="00ED2DA0" w:rsidRPr="00D15774">
        <w:t xml:space="preserve"> and “EPA Mobile Source Nonroad Engines” </w:t>
      </w:r>
      <w:r w:rsidR="00ED2DA0" w:rsidRPr="00D15774">
        <w:fldChar w:fldCharType="begin"/>
      </w:r>
      <w:r w:rsidR="00ED2DA0" w:rsidRPr="00D15774">
        <w:instrText xml:space="preserve"> TC \l2 "a.  Summary of Existing State Rules</w:instrText>
      </w:r>
      <w:r w:rsidR="00ED2DA0" w:rsidRPr="00D15774">
        <w:fldChar w:fldCharType="end"/>
      </w:r>
      <w:r w:rsidRPr="00D15774">
        <w:t>will have the effect of changing some of the emissions calculated for future Projections of the WRAP Phase III inventories.  The following analysis reviews where such changes will occur, as well as which source categories are likely affected.  It should be emphasized that this is a qualitative analysis as it was not possible to quantify these changes within the scope of this project.</w:t>
      </w:r>
    </w:p>
    <w:p w:rsidR="00671A8F" w:rsidRPr="00D15774" w:rsidRDefault="00671A8F" w:rsidP="000B0BB8">
      <w:pPr>
        <w:pStyle w:val="Heading2"/>
        <w:rPr>
          <w:rFonts w:ascii="Times New Roman" w:hAnsi="Times New Roman" w:cs="Times New Roman"/>
        </w:rPr>
      </w:pPr>
    </w:p>
    <w:p w:rsidR="00671A8F" w:rsidRPr="008A07D5" w:rsidRDefault="00671A8F" w:rsidP="000B0BB8">
      <w:pPr>
        <w:pStyle w:val="Heading2"/>
        <w:rPr>
          <w:rFonts w:ascii="Times New Roman" w:hAnsi="Times New Roman" w:cs="Times New Roman"/>
          <w:b/>
          <w:color w:val="auto"/>
        </w:rPr>
      </w:pPr>
      <w:bookmarkStart w:id="67" w:name="_Toc369087013"/>
      <w:r w:rsidRPr="008A07D5">
        <w:rPr>
          <w:rFonts w:ascii="Times New Roman" w:hAnsi="Times New Roman" w:cs="Times New Roman"/>
          <w:b/>
          <w:color w:val="auto"/>
        </w:rPr>
        <w:t>WRAP Phase III O&amp;G Basin Emissions – 2006 Baseline Data</w:t>
      </w:r>
      <w:bookmarkEnd w:id="67"/>
    </w:p>
    <w:p w:rsidR="00E47241" w:rsidRDefault="00E47241">
      <w:pPr>
        <w:widowControl w:val="0"/>
        <w:spacing w:line="300" w:lineRule="auto"/>
      </w:pPr>
    </w:p>
    <w:p w:rsidR="00042617" w:rsidRPr="00D15774" w:rsidRDefault="00576477">
      <w:pPr>
        <w:widowControl w:val="0"/>
        <w:spacing w:line="300" w:lineRule="auto"/>
      </w:pPr>
      <w:r w:rsidRPr="00D15774">
        <w:t>T</w:t>
      </w:r>
      <w:r w:rsidR="00042617" w:rsidRPr="00D15774">
        <w:t xml:space="preserve">he </w:t>
      </w:r>
      <w:r w:rsidR="005553D1" w:rsidRPr="00D15774">
        <w:t>200</w:t>
      </w:r>
      <w:r w:rsidR="00042617" w:rsidRPr="00D15774">
        <w:t xml:space="preserve">6 baseline emissions totals </w:t>
      </w:r>
      <w:r w:rsidR="00374228" w:rsidRPr="00D15774">
        <w:t xml:space="preserve">calculated </w:t>
      </w:r>
      <w:r w:rsidR="00042617" w:rsidRPr="00D15774">
        <w:t xml:space="preserve">for the completed WRAP Phase III O&amp;G gas basins are shown in Table </w:t>
      </w:r>
      <w:r w:rsidR="00416BE9" w:rsidRPr="00D15774">
        <w:t>4</w:t>
      </w:r>
      <w:r w:rsidR="007C28F7" w:rsidRPr="00D15774">
        <w:t xml:space="preserve"> (Williston has a 2009 baseline)</w:t>
      </w:r>
      <w:r w:rsidR="00042617" w:rsidRPr="00D15774">
        <w:t>.</w:t>
      </w:r>
    </w:p>
    <w:p w:rsidR="008951F6" w:rsidRPr="00D15774" w:rsidRDefault="008951F6">
      <w:pPr>
        <w:widowControl w:val="0"/>
        <w:spacing w:line="300" w:lineRule="auto"/>
      </w:pPr>
    </w:p>
    <w:p w:rsidR="00305E1F" w:rsidRPr="008A07D5" w:rsidRDefault="00042617" w:rsidP="008A07D5">
      <w:pPr>
        <w:pStyle w:val="Heading4"/>
        <w:jc w:val="center"/>
        <w:rPr>
          <w:rFonts w:ascii="Times New Roman" w:eastAsia="Times New Roman" w:hAnsi="Times New Roman" w:cs="Times New Roman"/>
          <w:bCs w:val="0"/>
          <w:i w:val="0"/>
          <w:iCs w:val="0"/>
          <w:color w:val="auto"/>
          <w:sz w:val="22"/>
        </w:rPr>
      </w:pPr>
      <w:bookmarkStart w:id="68" w:name="_Toc369087014"/>
      <w:r w:rsidRPr="008A07D5">
        <w:rPr>
          <w:rFonts w:ascii="Times New Roman" w:hAnsi="Times New Roman" w:cs="Times New Roman"/>
          <w:i w:val="0"/>
          <w:color w:val="auto"/>
        </w:rPr>
        <w:t xml:space="preserve">Table </w:t>
      </w:r>
      <w:r w:rsidR="00416BE9" w:rsidRPr="008A07D5">
        <w:rPr>
          <w:rFonts w:ascii="Times New Roman" w:hAnsi="Times New Roman" w:cs="Times New Roman"/>
          <w:i w:val="0"/>
          <w:color w:val="auto"/>
        </w:rPr>
        <w:t>4</w:t>
      </w:r>
      <w:r w:rsidRPr="008A07D5">
        <w:rPr>
          <w:rFonts w:ascii="Times New Roman" w:hAnsi="Times New Roman" w:cs="Times New Roman"/>
          <w:i w:val="0"/>
          <w:color w:val="auto"/>
        </w:rPr>
        <w:t>:  Phase III Basin 2006 Overall Emissions Totals</w:t>
      </w:r>
      <w:bookmarkEnd w:id="68"/>
      <w:r w:rsidR="00E21C92" w:rsidRPr="008A07D5">
        <w:rPr>
          <w:rFonts w:ascii="Times New Roman" w:eastAsia="Times New Roman" w:hAnsi="Times New Roman" w:cs="Times New Roman"/>
          <w:bCs w:val="0"/>
          <w:i w:val="0"/>
          <w:iCs w:val="0"/>
          <w:color w:val="auto"/>
          <w:sz w:val="22"/>
        </w:rPr>
        <w:fldChar w:fldCharType="begin"/>
      </w:r>
      <w:r w:rsidRPr="008A07D5">
        <w:rPr>
          <w:rFonts w:ascii="Times New Roman" w:eastAsia="Times New Roman" w:hAnsi="Times New Roman" w:cs="Times New Roman"/>
          <w:bCs w:val="0"/>
          <w:i w:val="0"/>
          <w:iCs w:val="0"/>
          <w:color w:val="auto"/>
          <w:sz w:val="22"/>
        </w:rPr>
        <w:instrText xml:space="preserve"> TC \l</w:instrText>
      </w:r>
      <w:r w:rsidR="00F421CF" w:rsidRPr="008A07D5">
        <w:rPr>
          <w:rFonts w:ascii="Times New Roman" w:eastAsia="Times New Roman" w:hAnsi="Times New Roman" w:cs="Times New Roman"/>
          <w:bCs w:val="0"/>
          <w:i w:val="0"/>
          <w:iCs w:val="0"/>
          <w:color w:val="auto"/>
          <w:sz w:val="22"/>
        </w:rPr>
        <w:instrText>3</w:instrText>
      </w:r>
      <w:r w:rsidRPr="008A07D5">
        <w:rPr>
          <w:rFonts w:ascii="Times New Roman" w:eastAsia="Times New Roman" w:hAnsi="Times New Roman" w:cs="Times New Roman"/>
          <w:bCs w:val="0"/>
          <w:i w:val="0"/>
          <w:iCs w:val="0"/>
          <w:color w:val="auto"/>
          <w:sz w:val="22"/>
        </w:rPr>
        <w:instrText xml:space="preserve"> "</w:instrText>
      </w:r>
      <w:bookmarkStart w:id="69" w:name="_Toc363192336"/>
      <w:r w:rsidRPr="008A07D5">
        <w:rPr>
          <w:rFonts w:ascii="Times New Roman" w:eastAsia="Times New Roman" w:hAnsi="Times New Roman" w:cs="Times New Roman"/>
          <w:bCs w:val="0"/>
          <w:i w:val="0"/>
          <w:iCs w:val="0"/>
          <w:color w:val="auto"/>
          <w:sz w:val="22"/>
        </w:rPr>
        <w:instrText>Table 2:  Phase III Basin 2006 Overall Emissions Totals</w:instrText>
      </w:r>
      <w:bookmarkEnd w:id="69"/>
      <w:r w:rsidR="00E21C92" w:rsidRPr="008A07D5">
        <w:rPr>
          <w:rFonts w:ascii="Times New Roman" w:eastAsia="Times New Roman" w:hAnsi="Times New Roman" w:cs="Times New Roman"/>
          <w:bCs w:val="0"/>
          <w:i w:val="0"/>
          <w:iCs w:val="0"/>
          <w:color w:val="auto"/>
          <w:sz w:val="22"/>
        </w:rPr>
        <w:fldChar w:fldCharType="end"/>
      </w:r>
    </w:p>
    <w:p w:rsidR="00305E1F" w:rsidRPr="00D15774" w:rsidRDefault="00305E1F" w:rsidP="00305E1F">
      <w:pPr>
        <w:pStyle w:val="Table"/>
        <w:ind w:left="-720" w:right="-360" w:firstLine="720"/>
        <w:jc w:val="center"/>
        <w:rPr>
          <w:rFonts w:ascii="Times New Roman" w:hAnsi="Times New Roman"/>
        </w:rPr>
      </w:pPr>
    </w:p>
    <w:tbl>
      <w:tblPr>
        <w:tblW w:w="840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500"/>
        <w:gridCol w:w="1397"/>
        <w:gridCol w:w="1397"/>
        <w:gridCol w:w="1397"/>
        <w:gridCol w:w="923"/>
        <w:gridCol w:w="786"/>
      </w:tblGrid>
      <w:tr w:rsidR="00305E1F" w:rsidRPr="00D15774" w:rsidTr="00305E1F">
        <w:trPr>
          <w:trHeight w:val="255"/>
          <w:jc w:val="center"/>
        </w:trPr>
        <w:tc>
          <w:tcPr>
            <w:tcW w:w="2500" w:type="dxa"/>
            <w:vMerge w:val="restart"/>
            <w:shd w:val="clear" w:color="auto" w:fill="E0E0E0"/>
            <w:noWrap/>
            <w:vAlign w:val="bottom"/>
          </w:tcPr>
          <w:p w:rsidR="00305E1F" w:rsidRPr="00D15774" w:rsidRDefault="00305E1F" w:rsidP="00305E1F">
            <w:pPr>
              <w:jc w:val="center"/>
              <w:rPr>
                <w:b/>
                <w:bCs/>
                <w:sz w:val="18"/>
                <w:szCs w:val="18"/>
              </w:rPr>
            </w:pPr>
            <w:r w:rsidRPr="00D15774">
              <w:rPr>
                <w:b/>
                <w:bCs/>
                <w:sz w:val="18"/>
                <w:szCs w:val="18"/>
              </w:rPr>
              <w:t>Basin</w:t>
            </w:r>
          </w:p>
        </w:tc>
        <w:tc>
          <w:tcPr>
            <w:tcW w:w="5900" w:type="dxa"/>
            <w:gridSpan w:val="5"/>
            <w:shd w:val="clear" w:color="auto" w:fill="E0E0E0"/>
            <w:vAlign w:val="center"/>
          </w:tcPr>
          <w:p w:rsidR="00305E1F" w:rsidRPr="00D15774" w:rsidRDefault="00305E1F" w:rsidP="00305E1F">
            <w:pPr>
              <w:jc w:val="center"/>
              <w:rPr>
                <w:b/>
                <w:bCs/>
                <w:sz w:val="18"/>
                <w:szCs w:val="18"/>
              </w:rPr>
            </w:pPr>
            <w:r w:rsidRPr="00D15774">
              <w:rPr>
                <w:b/>
                <w:bCs/>
                <w:sz w:val="18"/>
                <w:szCs w:val="18"/>
              </w:rPr>
              <w:t>Emissions (tons/yr)</w:t>
            </w:r>
          </w:p>
        </w:tc>
      </w:tr>
      <w:tr w:rsidR="00305E1F" w:rsidRPr="00D15774" w:rsidTr="00305E1F">
        <w:trPr>
          <w:trHeight w:val="270"/>
          <w:jc w:val="center"/>
        </w:trPr>
        <w:tc>
          <w:tcPr>
            <w:tcW w:w="2500" w:type="dxa"/>
            <w:vMerge/>
            <w:shd w:val="clear" w:color="auto" w:fill="E0E0E0"/>
            <w:vAlign w:val="center"/>
          </w:tcPr>
          <w:p w:rsidR="00305E1F" w:rsidRPr="00D15774" w:rsidRDefault="00305E1F" w:rsidP="00305E1F">
            <w:pPr>
              <w:jc w:val="center"/>
              <w:rPr>
                <w:b/>
                <w:bCs/>
                <w:sz w:val="18"/>
                <w:szCs w:val="18"/>
              </w:rPr>
            </w:pPr>
          </w:p>
        </w:tc>
        <w:tc>
          <w:tcPr>
            <w:tcW w:w="1397" w:type="dxa"/>
            <w:shd w:val="clear" w:color="auto" w:fill="E0E0E0"/>
            <w:noWrap/>
            <w:vAlign w:val="bottom"/>
          </w:tcPr>
          <w:p w:rsidR="00305E1F" w:rsidRPr="00D15774" w:rsidRDefault="00305E1F" w:rsidP="00305E1F">
            <w:pPr>
              <w:jc w:val="center"/>
              <w:rPr>
                <w:b/>
                <w:bCs/>
                <w:sz w:val="18"/>
                <w:szCs w:val="18"/>
              </w:rPr>
            </w:pPr>
            <w:r w:rsidRPr="00D15774">
              <w:rPr>
                <w:b/>
                <w:bCs/>
                <w:sz w:val="18"/>
                <w:szCs w:val="18"/>
              </w:rPr>
              <w:t>NOx</w:t>
            </w:r>
          </w:p>
        </w:tc>
        <w:tc>
          <w:tcPr>
            <w:tcW w:w="1397" w:type="dxa"/>
            <w:shd w:val="clear" w:color="auto" w:fill="E0E0E0"/>
            <w:noWrap/>
            <w:vAlign w:val="bottom"/>
          </w:tcPr>
          <w:p w:rsidR="00305E1F" w:rsidRPr="00D15774" w:rsidRDefault="00305E1F" w:rsidP="00305E1F">
            <w:pPr>
              <w:jc w:val="center"/>
              <w:rPr>
                <w:b/>
                <w:bCs/>
                <w:sz w:val="18"/>
                <w:szCs w:val="18"/>
              </w:rPr>
            </w:pPr>
            <w:r w:rsidRPr="00D15774">
              <w:rPr>
                <w:b/>
                <w:bCs/>
                <w:sz w:val="18"/>
                <w:szCs w:val="18"/>
              </w:rPr>
              <w:t>VOC</w:t>
            </w:r>
          </w:p>
        </w:tc>
        <w:tc>
          <w:tcPr>
            <w:tcW w:w="1397" w:type="dxa"/>
            <w:shd w:val="clear" w:color="auto" w:fill="E0E0E0"/>
            <w:noWrap/>
            <w:vAlign w:val="bottom"/>
          </w:tcPr>
          <w:p w:rsidR="00305E1F" w:rsidRPr="00D15774" w:rsidRDefault="00305E1F" w:rsidP="00305E1F">
            <w:pPr>
              <w:jc w:val="center"/>
              <w:rPr>
                <w:b/>
                <w:bCs/>
                <w:sz w:val="18"/>
                <w:szCs w:val="18"/>
              </w:rPr>
            </w:pPr>
            <w:r w:rsidRPr="00D15774">
              <w:rPr>
                <w:b/>
                <w:bCs/>
                <w:sz w:val="18"/>
                <w:szCs w:val="18"/>
              </w:rPr>
              <w:t>CO</w:t>
            </w:r>
          </w:p>
        </w:tc>
        <w:tc>
          <w:tcPr>
            <w:tcW w:w="923" w:type="dxa"/>
            <w:shd w:val="clear" w:color="auto" w:fill="E0E0E0"/>
            <w:noWrap/>
            <w:vAlign w:val="bottom"/>
          </w:tcPr>
          <w:p w:rsidR="00305E1F" w:rsidRPr="00D15774" w:rsidRDefault="00305E1F" w:rsidP="00305E1F">
            <w:pPr>
              <w:jc w:val="center"/>
              <w:rPr>
                <w:b/>
                <w:bCs/>
                <w:sz w:val="18"/>
                <w:szCs w:val="18"/>
              </w:rPr>
            </w:pPr>
            <w:r w:rsidRPr="00D15774">
              <w:rPr>
                <w:b/>
                <w:bCs/>
                <w:sz w:val="18"/>
                <w:szCs w:val="18"/>
              </w:rPr>
              <w:t>SOx</w:t>
            </w:r>
          </w:p>
        </w:tc>
        <w:tc>
          <w:tcPr>
            <w:tcW w:w="786" w:type="dxa"/>
            <w:shd w:val="clear" w:color="auto" w:fill="E0E0E0"/>
            <w:noWrap/>
            <w:vAlign w:val="bottom"/>
          </w:tcPr>
          <w:p w:rsidR="00305E1F" w:rsidRPr="00D15774" w:rsidRDefault="00305E1F" w:rsidP="00305E1F">
            <w:pPr>
              <w:jc w:val="center"/>
              <w:rPr>
                <w:b/>
                <w:bCs/>
                <w:sz w:val="18"/>
                <w:szCs w:val="18"/>
              </w:rPr>
            </w:pPr>
            <w:r w:rsidRPr="00D15774">
              <w:rPr>
                <w:b/>
                <w:bCs/>
                <w:sz w:val="18"/>
                <w:szCs w:val="18"/>
              </w:rPr>
              <w:t>PM</w:t>
            </w:r>
          </w:p>
        </w:tc>
      </w:tr>
      <w:tr w:rsidR="00305E1F" w:rsidRPr="00D15774" w:rsidTr="00305E1F">
        <w:trPr>
          <w:trHeight w:val="255"/>
          <w:jc w:val="center"/>
        </w:trPr>
        <w:tc>
          <w:tcPr>
            <w:tcW w:w="2500" w:type="dxa"/>
            <w:shd w:val="clear" w:color="auto" w:fill="auto"/>
            <w:noWrap/>
            <w:vAlign w:val="bottom"/>
          </w:tcPr>
          <w:p w:rsidR="00305E1F" w:rsidRPr="00D15774" w:rsidRDefault="00305E1F" w:rsidP="00305E1F">
            <w:pPr>
              <w:jc w:val="center"/>
              <w:rPr>
                <w:sz w:val="18"/>
                <w:szCs w:val="18"/>
              </w:rPr>
            </w:pPr>
            <w:r w:rsidRPr="00D15774">
              <w:rPr>
                <w:sz w:val="18"/>
                <w:szCs w:val="18"/>
              </w:rPr>
              <w:t>D-J Basin</w:t>
            </w:r>
          </w:p>
        </w:tc>
        <w:tc>
          <w:tcPr>
            <w:tcW w:w="1397" w:type="dxa"/>
            <w:shd w:val="clear" w:color="auto" w:fill="auto"/>
            <w:noWrap/>
            <w:vAlign w:val="bottom"/>
          </w:tcPr>
          <w:p w:rsidR="00305E1F" w:rsidRPr="00D15774" w:rsidRDefault="00305E1F" w:rsidP="00305E1F">
            <w:pPr>
              <w:jc w:val="center"/>
              <w:rPr>
                <w:sz w:val="18"/>
                <w:szCs w:val="18"/>
              </w:rPr>
            </w:pPr>
            <w:r w:rsidRPr="00D15774">
              <w:rPr>
                <w:sz w:val="18"/>
                <w:szCs w:val="18"/>
              </w:rPr>
              <w:t>20,783</w:t>
            </w:r>
          </w:p>
        </w:tc>
        <w:tc>
          <w:tcPr>
            <w:tcW w:w="1397" w:type="dxa"/>
            <w:shd w:val="clear" w:color="auto" w:fill="auto"/>
            <w:noWrap/>
            <w:vAlign w:val="bottom"/>
          </w:tcPr>
          <w:p w:rsidR="00305E1F" w:rsidRPr="00D15774" w:rsidRDefault="00305E1F" w:rsidP="00305E1F">
            <w:pPr>
              <w:jc w:val="center"/>
              <w:rPr>
                <w:sz w:val="18"/>
                <w:szCs w:val="18"/>
              </w:rPr>
            </w:pPr>
            <w:r w:rsidRPr="00D15774">
              <w:rPr>
                <w:sz w:val="18"/>
                <w:szCs w:val="18"/>
              </w:rPr>
              <w:t>81,758</w:t>
            </w:r>
          </w:p>
        </w:tc>
        <w:tc>
          <w:tcPr>
            <w:tcW w:w="1397" w:type="dxa"/>
            <w:shd w:val="clear" w:color="auto" w:fill="auto"/>
            <w:noWrap/>
            <w:vAlign w:val="bottom"/>
          </w:tcPr>
          <w:p w:rsidR="00305E1F" w:rsidRPr="00D15774" w:rsidRDefault="00305E1F" w:rsidP="00305E1F">
            <w:pPr>
              <w:jc w:val="center"/>
              <w:rPr>
                <w:sz w:val="18"/>
                <w:szCs w:val="18"/>
              </w:rPr>
            </w:pPr>
            <w:r w:rsidRPr="00D15774">
              <w:rPr>
                <w:sz w:val="18"/>
                <w:szCs w:val="18"/>
              </w:rPr>
              <w:t>12,941</w:t>
            </w:r>
          </w:p>
        </w:tc>
        <w:tc>
          <w:tcPr>
            <w:tcW w:w="923" w:type="dxa"/>
            <w:shd w:val="clear" w:color="auto" w:fill="auto"/>
            <w:noWrap/>
            <w:vAlign w:val="bottom"/>
          </w:tcPr>
          <w:p w:rsidR="00305E1F" w:rsidRPr="00D15774" w:rsidRDefault="00305E1F" w:rsidP="00305E1F">
            <w:pPr>
              <w:jc w:val="center"/>
              <w:rPr>
                <w:sz w:val="18"/>
                <w:szCs w:val="18"/>
              </w:rPr>
            </w:pPr>
            <w:r w:rsidRPr="00D15774">
              <w:rPr>
                <w:sz w:val="18"/>
                <w:szCs w:val="18"/>
              </w:rPr>
              <w:t>226</w:t>
            </w:r>
          </w:p>
        </w:tc>
        <w:tc>
          <w:tcPr>
            <w:tcW w:w="786" w:type="dxa"/>
            <w:shd w:val="clear" w:color="auto" w:fill="auto"/>
            <w:noWrap/>
            <w:vAlign w:val="bottom"/>
          </w:tcPr>
          <w:p w:rsidR="00305E1F" w:rsidRPr="00D15774" w:rsidRDefault="00305E1F" w:rsidP="00305E1F">
            <w:pPr>
              <w:jc w:val="center"/>
              <w:rPr>
                <w:sz w:val="18"/>
                <w:szCs w:val="18"/>
              </w:rPr>
            </w:pPr>
            <w:r w:rsidRPr="00D15774">
              <w:rPr>
                <w:sz w:val="18"/>
                <w:szCs w:val="18"/>
              </w:rPr>
              <w:t>636</w:t>
            </w:r>
          </w:p>
        </w:tc>
      </w:tr>
      <w:tr w:rsidR="00305E1F" w:rsidRPr="00D15774" w:rsidTr="00305E1F">
        <w:trPr>
          <w:trHeight w:val="255"/>
          <w:jc w:val="center"/>
        </w:trPr>
        <w:tc>
          <w:tcPr>
            <w:tcW w:w="2500" w:type="dxa"/>
            <w:shd w:val="clear" w:color="auto" w:fill="auto"/>
            <w:noWrap/>
            <w:vAlign w:val="bottom"/>
          </w:tcPr>
          <w:p w:rsidR="00305E1F" w:rsidRPr="00D15774" w:rsidRDefault="00305E1F" w:rsidP="00305E1F">
            <w:pPr>
              <w:jc w:val="center"/>
              <w:rPr>
                <w:sz w:val="18"/>
                <w:szCs w:val="18"/>
              </w:rPr>
            </w:pPr>
            <w:r w:rsidRPr="00D15774">
              <w:rPr>
                <w:sz w:val="18"/>
                <w:szCs w:val="18"/>
              </w:rPr>
              <w:t>Uinta Basin</w:t>
            </w:r>
          </w:p>
        </w:tc>
        <w:tc>
          <w:tcPr>
            <w:tcW w:w="1397" w:type="dxa"/>
            <w:shd w:val="clear" w:color="auto" w:fill="auto"/>
            <w:noWrap/>
            <w:vAlign w:val="bottom"/>
          </w:tcPr>
          <w:p w:rsidR="00305E1F" w:rsidRPr="00D15774" w:rsidRDefault="00305E1F" w:rsidP="00305E1F">
            <w:pPr>
              <w:jc w:val="center"/>
              <w:rPr>
                <w:sz w:val="18"/>
                <w:szCs w:val="18"/>
              </w:rPr>
            </w:pPr>
            <w:r w:rsidRPr="00D15774">
              <w:rPr>
                <w:sz w:val="18"/>
                <w:szCs w:val="18"/>
              </w:rPr>
              <w:t>13,093</w:t>
            </w:r>
          </w:p>
        </w:tc>
        <w:tc>
          <w:tcPr>
            <w:tcW w:w="1397" w:type="dxa"/>
            <w:shd w:val="clear" w:color="auto" w:fill="auto"/>
            <w:noWrap/>
            <w:vAlign w:val="bottom"/>
          </w:tcPr>
          <w:p w:rsidR="00305E1F" w:rsidRPr="00D15774" w:rsidRDefault="00305E1F" w:rsidP="00305E1F">
            <w:pPr>
              <w:jc w:val="center"/>
              <w:rPr>
                <w:sz w:val="18"/>
                <w:szCs w:val="18"/>
              </w:rPr>
            </w:pPr>
            <w:r w:rsidRPr="00D15774">
              <w:rPr>
                <w:sz w:val="18"/>
                <w:szCs w:val="18"/>
              </w:rPr>
              <w:t>71,546</w:t>
            </w:r>
          </w:p>
        </w:tc>
        <w:tc>
          <w:tcPr>
            <w:tcW w:w="1397" w:type="dxa"/>
            <w:shd w:val="clear" w:color="auto" w:fill="auto"/>
            <w:noWrap/>
            <w:vAlign w:val="bottom"/>
          </w:tcPr>
          <w:p w:rsidR="00305E1F" w:rsidRPr="00D15774" w:rsidRDefault="00305E1F" w:rsidP="00305E1F">
            <w:pPr>
              <w:jc w:val="center"/>
              <w:rPr>
                <w:sz w:val="18"/>
                <w:szCs w:val="18"/>
              </w:rPr>
            </w:pPr>
            <w:r w:rsidRPr="00D15774">
              <w:rPr>
                <w:sz w:val="18"/>
                <w:szCs w:val="18"/>
              </w:rPr>
              <w:t>8,727</w:t>
            </w:r>
          </w:p>
        </w:tc>
        <w:tc>
          <w:tcPr>
            <w:tcW w:w="923" w:type="dxa"/>
            <w:shd w:val="clear" w:color="auto" w:fill="auto"/>
            <w:noWrap/>
            <w:vAlign w:val="bottom"/>
          </w:tcPr>
          <w:p w:rsidR="00305E1F" w:rsidRPr="00D15774" w:rsidRDefault="00305E1F" w:rsidP="00305E1F">
            <w:pPr>
              <w:jc w:val="center"/>
              <w:rPr>
                <w:sz w:val="18"/>
                <w:szCs w:val="18"/>
              </w:rPr>
            </w:pPr>
            <w:r w:rsidRPr="00D15774">
              <w:rPr>
                <w:sz w:val="18"/>
                <w:szCs w:val="18"/>
              </w:rPr>
              <w:t>396</w:t>
            </w:r>
          </w:p>
        </w:tc>
        <w:tc>
          <w:tcPr>
            <w:tcW w:w="786" w:type="dxa"/>
            <w:shd w:val="clear" w:color="auto" w:fill="auto"/>
            <w:noWrap/>
            <w:vAlign w:val="bottom"/>
          </w:tcPr>
          <w:p w:rsidR="00305E1F" w:rsidRPr="00D15774" w:rsidRDefault="00305E1F" w:rsidP="00305E1F">
            <w:pPr>
              <w:jc w:val="center"/>
              <w:rPr>
                <w:sz w:val="18"/>
                <w:szCs w:val="18"/>
              </w:rPr>
            </w:pPr>
            <w:r w:rsidRPr="00D15774">
              <w:rPr>
                <w:sz w:val="18"/>
                <w:szCs w:val="18"/>
              </w:rPr>
              <w:t>623</w:t>
            </w:r>
          </w:p>
        </w:tc>
      </w:tr>
      <w:tr w:rsidR="00305E1F" w:rsidRPr="00D15774" w:rsidTr="00305E1F">
        <w:trPr>
          <w:trHeight w:val="255"/>
          <w:jc w:val="center"/>
        </w:trPr>
        <w:tc>
          <w:tcPr>
            <w:tcW w:w="2500" w:type="dxa"/>
            <w:shd w:val="clear" w:color="auto" w:fill="auto"/>
            <w:noWrap/>
            <w:vAlign w:val="bottom"/>
          </w:tcPr>
          <w:p w:rsidR="00305E1F" w:rsidRPr="00D15774" w:rsidRDefault="00305E1F" w:rsidP="00305E1F">
            <w:pPr>
              <w:jc w:val="center"/>
              <w:rPr>
                <w:sz w:val="18"/>
                <w:szCs w:val="18"/>
              </w:rPr>
            </w:pPr>
            <w:r w:rsidRPr="00D15774">
              <w:rPr>
                <w:sz w:val="18"/>
                <w:szCs w:val="18"/>
              </w:rPr>
              <w:t>Piceance Basin</w:t>
            </w:r>
          </w:p>
        </w:tc>
        <w:tc>
          <w:tcPr>
            <w:tcW w:w="1397" w:type="dxa"/>
            <w:shd w:val="clear" w:color="auto" w:fill="auto"/>
            <w:noWrap/>
            <w:vAlign w:val="bottom"/>
          </w:tcPr>
          <w:p w:rsidR="00305E1F" w:rsidRPr="00D15774" w:rsidRDefault="00305E1F" w:rsidP="00305E1F">
            <w:pPr>
              <w:jc w:val="center"/>
              <w:rPr>
                <w:sz w:val="18"/>
                <w:szCs w:val="18"/>
              </w:rPr>
            </w:pPr>
            <w:r w:rsidRPr="00D15774">
              <w:rPr>
                <w:sz w:val="18"/>
                <w:szCs w:val="18"/>
              </w:rPr>
              <w:t>12,390</w:t>
            </w:r>
          </w:p>
        </w:tc>
        <w:tc>
          <w:tcPr>
            <w:tcW w:w="1397" w:type="dxa"/>
            <w:shd w:val="clear" w:color="auto" w:fill="auto"/>
            <w:noWrap/>
            <w:vAlign w:val="bottom"/>
          </w:tcPr>
          <w:p w:rsidR="00305E1F" w:rsidRPr="00D15774" w:rsidRDefault="00305E1F" w:rsidP="00305E1F">
            <w:pPr>
              <w:jc w:val="center"/>
              <w:rPr>
                <w:sz w:val="18"/>
                <w:szCs w:val="18"/>
              </w:rPr>
            </w:pPr>
            <w:r w:rsidRPr="00D15774">
              <w:rPr>
                <w:sz w:val="18"/>
                <w:szCs w:val="18"/>
              </w:rPr>
              <w:t>27,464</w:t>
            </w:r>
          </w:p>
        </w:tc>
        <w:tc>
          <w:tcPr>
            <w:tcW w:w="1397" w:type="dxa"/>
            <w:shd w:val="clear" w:color="auto" w:fill="auto"/>
            <w:noWrap/>
            <w:vAlign w:val="bottom"/>
          </w:tcPr>
          <w:p w:rsidR="00305E1F" w:rsidRPr="00D15774" w:rsidRDefault="00305E1F" w:rsidP="00305E1F">
            <w:pPr>
              <w:jc w:val="center"/>
              <w:rPr>
                <w:sz w:val="18"/>
                <w:szCs w:val="18"/>
              </w:rPr>
            </w:pPr>
            <w:r w:rsidRPr="00D15774">
              <w:rPr>
                <w:sz w:val="18"/>
                <w:szCs w:val="18"/>
              </w:rPr>
              <w:t>7,921</w:t>
            </w:r>
          </w:p>
        </w:tc>
        <w:tc>
          <w:tcPr>
            <w:tcW w:w="923" w:type="dxa"/>
            <w:shd w:val="clear" w:color="auto" w:fill="auto"/>
            <w:noWrap/>
            <w:vAlign w:val="bottom"/>
          </w:tcPr>
          <w:p w:rsidR="00305E1F" w:rsidRPr="00D15774" w:rsidRDefault="00305E1F" w:rsidP="00305E1F">
            <w:pPr>
              <w:jc w:val="center"/>
              <w:rPr>
                <w:sz w:val="18"/>
                <w:szCs w:val="18"/>
              </w:rPr>
            </w:pPr>
            <w:r w:rsidRPr="00D15774">
              <w:rPr>
                <w:sz w:val="18"/>
                <w:szCs w:val="18"/>
              </w:rPr>
              <w:t>314</w:t>
            </w:r>
          </w:p>
        </w:tc>
        <w:tc>
          <w:tcPr>
            <w:tcW w:w="786" w:type="dxa"/>
            <w:shd w:val="clear" w:color="auto" w:fill="auto"/>
            <w:noWrap/>
            <w:vAlign w:val="bottom"/>
          </w:tcPr>
          <w:p w:rsidR="00305E1F" w:rsidRPr="00D15774" w:rsidRDefault="00305E1F" w:rsidP="00305E1F">
            <w:pPr>
              <w:jc w:val="center"/>
              <w:rPr>
                <w:sz w:val="18"/>
                <w:szCs w:val="18"/>
              </w:rPr>
            </w:pPr>
            <w:r w:rsidRPr="00D15774">
              <w:rPr>
                <w:sz w:val="18"/>
                <w:szCs w:val="18"/>
              </w:rPr>
              <w:t>992</w:t>
            </w:r>
          </w:p>
        </w:tc>
      </w:tr>
      <w:tr w:rsidR="00305E1F" w:rsidRPr="00D15774" w:rsidTr="00305E1F">
        <w:trPr>
          <w:trHeight w:val="255"/>
          <w:jc w:val="center"/>
        </w:trPr>
        <w:tc>
          <w:tcPr>
            <w:tcW w:w="2500" w:type="dxa"/>
            <w:shd w:val="clear" w:color="auto" w:fill="auto"/>
            <w:noWrap/>
            <w:vAlign w:val="bottom"/>
          </w:tcPr>
          <w:p w:rsidR="00305E1F" w:rsidRPr="00D15774" w:rsidRDefault="00305E1F" w:rsidP="00305E1F">
            <w:pPr>
              <w:jc w:val="center"/>
              <w:rPr>
                <w:sz w:val="18"/>
                <w:szCs w:val="18"/>
              </w:rPr>
            </w:pPr>
            <w:r w:rsidRPr="00D15774">
              <w:rPr>
                <w:sz w:val="18"/>
                <w:szCs w:val="18"/>
              </w:rPr>
              <w:t>North San Juan Basin</w:t>
            </w:r>
          </w:p>
        </w:tc>
        <w:tc>
          <w:tcPr>
            <w:tcW w:w="1397" w:type="dxa"/>
            <w:shd w:val="clear" w:color="auto" w:fill="auto"/>
            <w:noWrap/>
            <w:vAlign w:val="bottom"/>
          </w:tcPr>
          <w:p w:rsidR="00305E1F" w:rsidRPr="00D15774" w:rsidRDefault="00305E1F" w:rsidP="00305E1F">
            <w:pPr>
              <w:jc w:val="center"/>
              <w:rPr>
                <w:sz w:val="18"/>
                <w:szCs w:val="18"/>
              </w:rPr>
            </w:pPr>
            <w:r w:rsidRPr="00D15774">
              <w:rPr>
                <w:sz w:val="18"/>
                <w:szCs w:val="18"/>
              </w:rPr>
              <w:t>5,700</w:t>
            </w:r>
          </w:p>
        </w:tc>
        <w:tc>
          <w:tcPr>
            <w:tcW w:w="1397" w:type="dxa"/>
            <w:shd w:val="clear" w:color="auto" w:fill="auto"/>
            <w:noWrap/>
            <w:vAlign w:val="bottom"/>
          </w:tcPr>
          <w:p w:rsidR="00305E1F" w:rsidRPr="00D15774" w:rsidRDefault="00305E1F" w:rsidP="00305E1F">
            <w:pPr>
              <w:jc w:val="center"/>
              <w:rPr>
                <w:sz w:val="18"/>
                <w:szCs w:val="18"/>
              </w:rPr>
            </w:pPr>
            <w:r w:rsidRPr="00D15774">
              <w:rPr>
                <w:sz w:val="18"/>
                <w:szCs w:val="18"/>
              </w:rPr>
              <w:t>2,147</w:t>
            </w:r>
          </w:p>
        </w:tc>
        <w:tc>
          <w:tcPr>
            <w:tcW w:w="1397" w:type="dxa"/>
            <w:shd w:val="clear" w:color="auto" w:fill="auto"/>
            <w:noWrap/>
            <w:vAlign w:val="bottom"/>
          </w:tcPr>
          <w:p w:rsidR="00305E1F" w:rsidRPr="00D15774" w:rsidRDefault="00305E1F" w:rsidP="00305E1F">
            <w:pPr>
              <w:jc w:val="center"/>
              <w:rPr>
                <w:sz w:val="18"/>
                <w:szCs w:val="18"/>
              </w:rPr>
            </w:pPr>
            <w:r w:rsidRPr="00D15774">
              <w:rPr>
                <w:sz w:val="18"/>
                <w:szCs w:val="18"/>
              </w:rPr>
              <w:t>6,450</w:t>
            </w:r>
          </w:p>
        </w:tc>
        <w:tc>
          <w:tcPr>
            <w:tcW w:w="923" w:type="dxa"/>
            <w:shd w:val="clear" w:color="auto" w:fill="auto"/>
            <w:noWrap/>
            <w:vAlign w:val="bottom"/>
          </w:tcPr>
          <w:p w:rsidR="00305E1F" w:rsidRPr="00D15774" w:rsidRDefault="00305E1F" w:rsidP="00305E1F">
            <w:pPr>
              <w:jc w:val="center"/>
              <w:rPr>
                <w:sz w:val="18"/>
                <w:szCs w:val="18"/>
              </w:rPr>
            </w:pPr>
            <w:r w:rsidRPr="00D15774">
              <w:rPr>
                <w:sz w:val="18"/>
                <w:szCs w:val="18"/>
              </w:rPr>
              <w:t>15</w:t>
            </w:r>
          </w:p>
        </w:tc>
        <w:tc>
          <w:tcPr>
            <w:tcW w:w="786" w:type="dxa"/>
            <w:shd w:val="clear" w:color="auto" w:fill="auto"/>
            <w:noWrap/>
            <w:vAlign w:val="bottom"/>
          </w:tcPr>
          <w:p w:rsidR="00305E1F" w:rsidRPr="00D15774" w:rsidRDefault="00305E1F" w:rsidP="00305E1F">
            <w:pPr>
              <w:jc w:val="center"/>
              <w:rPr>
                <w:sz w:val="18"/>
                <w:szCs w:val="18"/>
              </w:rPr>
            </w:pPr>
            <w:r w:rsidRPr="00D15774">
              <w:rPr>
                <w:sz w:val="18"/>
                <w:szCs w:val="18"/>
              </w:rPr>
              <w:t>52</w:t>
            </w:r>
          </w:p>
        </w:tc>
      </w:tr>
      <w:tr w:rsidR="00305E1F" w:rsidRPr="00D15774" w:rsidTr="00305E1F">
        <w:trPr>
          <w:trHeight w:val="305"/>
          <w:jc w:val="center"/>
        </w:trPr>
        <w:tc>
          <w:tcPr>
            <w:tcW w:w="2500" w:type="dxa"/>
            <w:shd w:val="clear" w:color="auto" w:fill="auto"/>
            <w:noWrap/>
            <w:vAlign w:val="bottom"/>
          </w:tcPr>
          <w:p w:rsidR="00305E1F" w:rsidRPr="00D15774" w:rsidRDefault="00305E1F" w:rsidP="00305E1F">
            <w:pPr>
              <w:jc w:val="center"/>
              <w:rPr>
                <w:sz w:val="18"/>
                <w:szCs w:val="18"/>
              </w:rPr>
            </w:pPr>
            <w:r w:rsidRPr="00D15774">
              <w:rPr>
                <w:sz w:val="18"/>
                <w:szCs w:val="18"/>
              </w:rPr>
              <w:t>South San Juan Basin</w:t>
            </w:r>
          </w:p>
        </w:tc>
        <w:tc>
          <w:tcPr>
            <w:tcW w:w="1397" w:type="dxa"/>
            <w:shd w:val="clear" w:color="auto" w:fill="auto"/>
            <w:noWrap/>
            <w:vAlign w:val="bottom"/>
          </w:tcPr>
          <w:p w:rsidR="00305E1F" w:rsidRPr="00D15774" w:rsidRDefault="00305E1F" w:rsidP="00305E1F">
            <w:pPr>
              <w:jc w:val="center"/>
              <w:rPr>
                <w:sz w:val="18"/>
                <w:szCs w:val="18"/>
              </w:rPr>
            </w:pPr>
            <w:r w:rsidRPr="00D15774">
              <w:rPr>
                <w:sz w:val="18"/>
                <w:szCs w:val="18"/>
              </w:rPr>
              <w:t>42,075</w:t>
            </w:r>
          </w:p>
        </w:tc>
        <w:tc>
          <w:tcPr>
            <w:tcW w:w="1397" w:type="dxa"/>
            <w:shd w:val="clear" w:color="auto" w:fill="auto"/>
            <w:noWrap/>
            <w:vAlign w:val="bottom"/>
          </w:tcPr>
          <w:p w:rsidR="00305E1F" w:rsidRPr="00D15774" w:rsidRDefault="00305E1F" w:rsidP="00305E1F">
            <w:pPr>
              <w:jc w:val="center"/>
              <w:rPr>
                <w:sz w:val="18"/>
                <w:szCs w:val="18"/>
              </w:rPr>
            </w:pPr>
            <w:r w:rsidRPr="00D15774">
              <w:rPr>
                <w:sz w:val="18"/>
                <w:szCs w:val="18"/>
              </w:rPr>
              <w:t>60,697</w:t>
            </w:r>
          </w:p>
        </w:tc>
        <w:tc>
          <w:tcPr>
            <w:tcW w:w="1397" w:type="dxa"/>
            <w:shd w:val="clear" w:color="auto" w:fill="auto"/>
            <w:noWrap/>
            <w:vAlign w:val="bottom"/>
          </w:tcPr>
          <w:p w:rsidR="00305E1F" w:rsidRPr="00D15774" w:rsidRDefault="00305E1F" w:rsidP="00305E1F">
            <w:pPr>
              <w:jc w:val="center"/>
              <w:rPr>
                <w:sz w:val="18"/>
                <w:szCs w:val="18"/>
              </w:rPr>
            </w:pPr>
            <w:r w:rsidRPr="00D15774">
              <w:rPr>
                <w:sz w:val="18"/>
                <w:szCs w:val="18"/>
              </w:rPr>
              <w:t>23,471</w:t>
            </w:r>
          </w:p>
        </w:tc>
        <w:tc>
          <w:tcPr>
            <w:tcW w:w="923" w:type="dxa"/>
            <w:shd w:val="clear" w:color="auto" w:fill="auto"/>
            <w:noWrap/>
            <w:vAlign w:val="bottom"/>
          </w:tcPr>
          <w:p w:rsidR="00305E1F" w:rsidRPr="00D15774" w:rsidRDefault="00305E1F" w:rsidP="00305E1F">
            <w:pPr>
              <w:jc w:val="center"/>
              <w:rPr>
                <w:sz w:val="18"/>
                <w:szCs w:val="18"/>
              </w:rPr>
            </w:pPr>
            <w:r w:rsidRPr="00D15774">
              <w:rPr>
                <w:sz w:val="18"/>
                <w:szCs w:val="18"/>
              </w:rPr>
              <w:t>305</w:t>
            </w:r>
          </w:p>
        </w:tc>
        <w:tc>
          <w:tcPr>
            <w:tcW w:w="786" w:type="dxa"/>
            <w:shd w:val="clear" w:color="auto" w:fill="auto"/>
            <w:noWrap/>
            <w:vAlign w:val="bottom"/>
          </w:tcPr>
          <w:p w:rsidR="00305E1F" w:rsidRPr="00D15774" w:rsidRDefault="00305E1F" w:rsidP="00305E1F">
            <w:pPr>
              <w:jc w:val="center"/>
              <w:rPr>
                <w:sz w:val="18"/>
                <w:szCs w:val="18"/>
              </w:rPr>
            </w:pPr>
            <w:r w:rsidRPr="00D15774">
              <w:rPr>
                <w:sz w:val="18"/>
                <w:szCs w:val="18"/>
              </w:rPr>
              <w:t>574</w:t>
            </w:r>
          </w:p>
        </w:tc>
      </w:tr>
      <w:tr w:rsidR="00305E1F" w:rsidRPr="00D15774" w:rsidTr="00305E1F">
        <w:trPr>
          <w:trHeight w:val="305"/>
          <w:jc w:val="center"/>
        </w:trPr>
        <w:tc>
          <w:tcPr>
            <w:tcW w:w="2500" w:type="dxa"/>
            <w:shd w:val="clear" w:color="auto" w:fill="auto"/>
            <w:noWrap/>
            <w:vAlign w:val="bottom"/>
          </w:tcPr>
          <w:p w:rsidR="00305E1F" w:rsidRPr="00D15774" w:rsidRDefault="00305E1F" w:rsidP="00305E1F">
            <w:pPr>
              <w:jc w:val="center"/>
              <w:rPr>
                <w:sz w:val="18"/>
                <w:szCs w:val="18"/>
              </w:rPr>
            </w:pPr>
            <w:r w:rsidRPr="00D15774">
              <w:rPr>
                <w:sz w:val="18"/>
                <w:szCs w:val="18"/>
              </w:rPr>
              <w:t>Wind River Basin</w:t>
            </w:r>
          </w:p>
        </w:tc>
        <w:tc>
          <w:tcPr>
            <w:tcW w:w="1397" w:type="dxa"/>
            <w:shd w:val="clear" w:color="auto" w:fill="auto"/>
            <w:noWrap/>
            <w:vAlign w:val="bottom"/>
          </w:tcPr>
          <w:p w:rsidR="00305E1F" w:rsidRPr="00D15774" w:rsidRDefault="00305E1F" w:rsidP="00305E1F">
            <w:pPr>
              <w:jc w:val="center"/>
              <w:rPr>
                <w:sz w:val="18"/>
                <w:szCs w:val="18"/>
              </w:rPr>
            </w:pPr>
            <w:r w:rsidRPr="00D15774">
              <w:rPr>
                <w:sz w:val="18"/>
                <w:szCs w:val="18"/>
              </w:rPr>
              <w:t>1,814</w:t>
            </w:r>
          </w:p>
        </w:tc>
        <w:tc>
          <w:tcPr>
            <w:tcW w:w="1397" w:type="dxa"/>
            <w:shd w:val="clear" w:color="auto" w:fill="auto"/>
            <w:noWrap/>
            <w:vAlign w:val="bottom"/>
          </w:tcPr>
          <w:p w:rsidR="00305E1F" w:rsidRPr="00D15774" w:rsidRDefault="00305E1F" w:rsidP="00305E1F">
            <w:pPr>
              <w:jc w:val="center"/>
              <w:rPr>
                <w:sz w:val="18"/>
                <w:szCs w:val="18"/>
              </w:rPr>
            </w:pPr>
            <w:r w:rsidRPr="00D15774">
              <w:rPr>
                <w:sz w:val="18"/>
                <w:szCs w:val="18"/>
              </w:rPr>
              <w:t>11,981</w:t>
            </w:r>
          </w:p>
        </w:tc>
        <w:tc>
          <w:tcPr>
            <w:tcW w:w="1397" w:type="dxa"/>
            <w:shd w:val="clear" w:color="auto" w:fill="auto"/>
            <w:noWrap/>
            <w:vAlign w:val="bottom"/>
          </w:tcPr>
          <w:p w:rsidR="00305E1F" w:rsidRPr="00D15774" w:rsidRDefault="00305E1F" w:rsidP="00305E1F">
            <w:pPr>
              <w:jc w:val="center"/>
              <w:rPr>
                <w:sz w:val="18"/>
                <w:szCs w:val="18"/>
              </w:rPr>
            </w:pPr>
            <w:r w:rsidRPr="00D15774">
              <w:rPr>
                <w:sz w:val="18"/>
                <w:szCs w:val="18"/>
              </w:rPr>
              <w:t>2,840</w:t>
            </w:r>
          </w:p>
        </w:tc>
        <w:tc>
          <w:tcPr>
            <w:tcW w:w="923" w:type="dxa"/>
            <w:shd w:val="clear" w:color="auto" w:fill="auto"/>
            <w:noWrap/>
            <w:vAlign w:val="bottom"/>
          </w:tcPr>
          <w:p w:rsidR="00305E1F" w:rsidRPr="00D15774" w:rsidRDefault="00305E1F" w:rsidP="00305E1F">
            <w:pPr>
              <w:jc w:val="center"/>
              <w:rPr>
                <w:sz w:val="18"/>
                <w:szCs w:val="18"/>
              </w:rPr>
            </w:pPr>
            <w:r w:rsidRPr="00D15774">
              <w:rPr>
                <w:sz w:val="18"/>
                <w:szCs w:val="18"/>
              </w:rPr>
              <w:t>1,792</w:t>
            </w:r>
          </w:p>
        </w:tc>
        <w:tc>
          <w:tcPr>
            <w:tcW w:w="786" w:type="dxa"/>
            <w:shd w:val="clear" w:color="auto" w:fill="auto"/>
            <w:noWrap/>
            <w:vAlign w:val="bottom"/>
          </w:tcPr>
          <w:p w:rsidR="00305E1F" w:rsidRPr="00D15774" w:rsidRDefault="00305E1F" w:rsidP="00305E1F">
            <w:pPr>
              <w:jc w:val="center"/>
              <w:rPr>
                <w:sz w:val="18"/>
                <w:szCs w:val="18"/>
              </w:rPr>
            </w:pPr>
            <w:r w:rsidRPr="00D15774">
              <w:rPr>
                <w:sz w:val="18"/>
                <w:szCs w:val="18"/>
              </w:rPr>
              <w:t>37</w:t>
            </w:r>
          </w:p>
        </w:tc>
      </w:tr>
      <w:tr w:rsidR="00305E1F" w:rsidRPr="00D15774" w:rsidTr="00305E1F">
        <w:trPr>
          <w:trHeight w:val="305"/>
          <w:jc w:val="center"/>
        </w:trPr>
        <w:tc>
          <w:tcPr>
            <w:tcW w:w="2500" w:type="dxa"/>
            <w:shd w:val="clear" w:color="auto" w:fill="auto"/>
            <w:noWrap/>
            <w:vAlign w:val="bottom"/>
          </w:tcPr>
          <w:p w:rsidR="00305E1F" w:rsidRPr="00D15774" w:rsidRDefault="00305E1F" w:rsidP="00305E1F">
            <w:pPr>
              <w:jc w:val="center"/>
              <w:rPr>
                <w:sz w:val="18"/>
                <w:szCs w:val="18"/>
              </w:rPr>
            </w:pPr>
            <w:r w:rsidRPr="00D15774">
              <w:rPr>
                <w:sz w:val="18"/>
                <w:szCs w:val="18"/>
              </w:rPr>
              <w:t>Powder River Basin</w:t>
            </w:r>
          </w:p>
        </w:tc>
        <w:tc>
          <w:tcPr>
            <w:tcW w:w="1397" w:type="dxa"/>
            <w:shd w:val="clear" w:color="auto" w:fill="auto"/>
            <w:noWrap/>
            <w:vAlign w:val="bottom"/>
          </w:tcPr>
          <w:p w:rsidR="00305E1F" w:rsidRPr="00D15774" w:rsidRDefault="00305E1F" w:rsidP="00305E1F">
            <w:pPr>
              <w:jc w:val="center"/>
              <w:rPr>
                <w:sz w:val="18"/>
                <w:szCs w:val="18"/>
              </w:rPr>
            </w:pPr>
            <w:r w:rsidRPr="00D15774">
              <w:rPr>
                <w:sz w:val="18"/>
                <w:szCs w:val="18"/>
              </w:rPr>
              <w:t>21,086</w:t>
            </w:r>
          </w:p>
        </w:tc>
        <w:tc>
          <w:tcPr>
            <w:tcW w:w="1397" w:type="dxa"/>
            <w:shd w:val="clear" w:color="auto" w:fill="auto"/>
            <w:noWrap/>
            <w:vAlign w:val="bottom"/>
          </w:tcPr>
          <w:p w:rsidR="00305E1F" w:rsidRPr="00D15774" w:rsidRDefault="00305E1F" w:rsidP="00305E1F">
            <w:pPr>
              <w:jc w:val="center"/>
              <w:rPr>
                <w:sz w:val="18"/>
                <w:szCs w:val="18"/>
              </w:rPr>
            </w:pPr>
            <w:r w:rsidRPr="00D15774">
              <w:rPr>
                <w:sz w:val="18"/>
                <w:szCs w:val="18"/>
              </w:rPr>
              <w:t>14,367</w:t>
            </w:r>
          </w:p>
        </w:tc>
        <w:tc>
          <w:tcPr>
            <w:tcW w:w="1397" w:type="dxa"/>
            <w:shd w:val="clear" w:color="auto" w:fill="auto"/>
            <w:noWrap/>
            <w:vAlign w:val="bottom"/>
          </w:tcPr>
          <w:p w:rsidR="00305E1F" w:rsidRPr="00D15774" w:rsidRDefault="00305E1F" w:rsidP="00305E1F">
            <w:pPr>
              <w:jc w:val="center"/>
              <w:rPr>
                <w:sz w:val="18"/>
                <w:szCs w:val="18"/>
              </w:rPr>
            </w:pPr>
            <w:r w:rsidRPr="00D15774">
              <w:rPr>
                <w:sz w:val="18"/>
                <w:szCs w:val="18"/>
              </w:rPr>
              <w:t>12,873</w:t>
            </w:r>
          </w:p>
        </w:tc>
        <w:tc>
          <w:tcPr>
            <w:tcW w:w="923" w:type="dxa"/>
            <w:shd w:val="clear" w:color="auto" w:fill="auto"/>
            <w:noWrap/>
            <w:vAlign w:val="bottom"/>
          </w:tcPr>
          <w:p w:rsidR="00305E1F" w:rsidRPr="00D15774" w:rsidRDefault="00305E1F" w:rsidP="00305E1F">
            <w:pPr>
              <w:jc w:val="center"/>
              <w:rPr>
                <w:sz w:val="18"/>
                <w:szCs w:val="18"/>
              </w:rPr>
            </w:pPr>
            <w:r w:rsidRPr="00D15774">
              <w:rPr>
                <w:sz w:val="18"/>
                <w:szCs w:val="18"/>
              </w:rPr>
              <w:t>609</w:t>
            </w:r>
          </w:p>
        </w:tc>
        <w:tc>
          <w:tcPr>
            <w:tcW w:w="786" w:type="dxa"/>
            <w:shd w:val="clear" w:color="auto" w:fill="auto"/>
            <w:noWrap/>
            <w:vAlign w:val="bottom"/>
          </w:tcPr>
          <w:p w:rsidR="00305E1F" w:rsidRPr="00D15774" w:rsidRDefault="00305E1F" w:rsidP="00305E1F">
            <w:pPr>
              <w:jc w:val="center"/>
              <w:rPr>
                <w:sz w:val="18"/>
                <w:szCs w:val="18"/>
              </w:rPr>
            </w:pPr>
            <w:r w:rsidRPr="00D15774">
              <w:rPr>
                <w:sz w:val="18"/>
                <w:szCs w:val="18"/>
              </w:rPr>
              <w:t>681</w:t>
            </w:r>
          </w:p>
        </w:tc>
      </w:tr>
      <w:tr w:rsidR="00305E1F" w:rsidRPr="00D15774" w:rsidTr="00305E1F">
        <w:trPr>
          <w:trHeight w:val="305"/>
          <w:jc w:val="center"/>
        </w:trPr>
        <w:tc>
          <w:tcPr>
            <w:tcW w:w="2500" w:type="dxa"/>
            <w:shd w:val="clear" w:color="auto" w:fill="auto"/>
            <w:noWrap/>
            <w:vAlign w:val="bottom"/>
          </w:tcPr>
          <w:p w:rsidR="00305E1F" w:rsidRPr="00D15774" w:rsidRDefault="00305E1F" w:rsidP="00305E1F">
            <w:pPr>
              <w:jc w:val="center"/>
              <w:rPr>
                <w:sz w:val="18"/>
                <w:szCs w:val="18"/>
              </w:rPr>
            </w:pPr>
            <w:r w:rsidRPr="00D15774">
              <w:rPr>
                <w:sz w:val="18"/>
                <w:szCs w:val="18"/>
              </w:rPr>
              <w:t>Southwest Wyoming Basin</w:t>
            </w:r>
          </w:p>
        </w:tc>
        <w:tc>
          <w:tcPr>
            <w:tcW w:w="1397" w:type="dxa"/>
            <w:shd w:val="clear" w:color="auto" w:fill="auto"/>
            <w:noWrap/>
            <w:vAlign w:val="bottom"/>
          </w:tcPr>
          <w:p w:rsidR="00305E1F" w:rsidRPr="00D15774" w:rsidRDefault="00305E1F" w:rsidP="00305E1F">
            <w:pPr>
              <w:jc w:val="center"/>
              <w:rPr>
                <w:sz w:val="18"/>
                <w:szCs w:val="18"/>
              </w:rPr>
            </w:pPr>
            <w:r w:rsidRPr="00D15774">
              <w:rPr>
                <w:sz w:val="18"/>
                <w:szCs w:val="18"/>
              </w:rPr>
              <w:t>21,569</w:t>
            </w:r>
          </w:p>
        </w:tc>
        <w:tc>
          <w:tcPr>
            <w:tcW w:w="1397" w:type="dxa"/>
            <w:shd w:val="clear" w:color="auto" w:fill="auto"/>
            <w:noWrap/>
            <w:vAlign w:val="bottom"/>
          </w:tcPr>
          <w:p w:rsidR="00305E1F" w:rsidRPr="00D15774" w:rsidRDefault="00305E1F" w:rsidP="00305E1F">
            <w:pPr>
              <w:jc w:val="center"/>
              <w:rPr>
                <w:sz w:val="18"/>
                <w:szCs w:val="18"/>
              </w:rPr>
            </w:pPr>
            <w:r w:rsidRPr="00D15774">
              <w:rPr>
                <w:sz w:val="18"/>
                <w:szCs w:val="18"/>
              </w:rPr>
              <w:t>94,013</w:t>
            </w:r>
          </w:p>
        </w:tc>
        <w:tc>
          <w:tcPr>
            <w:tcW w:w="1397" w:type="dxa"/>
            <w:shd w:val="clear" w:color="auto" w:fill="auto"/>
            <w:noWrap/>
            <w:vAlign w:val="bottom"/>
          </w:tcPr>
          <w:p w:rsidR="00305E1F" w:rsidRPr="00D15774" w:rsidRDefault="00305E1F" w:rsidP="00305E1F">
            <w:pPr>
              <w:jc w:val="center"/>
              <w:rPr>
                <w:sz w:val="18"/>
                <w:szCs w:val="18"/>
              </w:rPr>
            </w:pPr>
            <w:r w:rsidRPr="00D15774">
              <w:rPr>
                <w:sz w:val="18"/>
                <w:szCs w:val="18"/>
              </w:rPr>
              <w:t>13,150</w:t>
            </w:r>
          </w:p>
        </w:tc>
        <w:tc>
          <w:tcPr>
            <w:tcW w:w="923" w:type="dxa"/>
            <w:shd w:val="clear" w:color="auto" w:fill="auto"/>
            <w:noWrap/>
            <w:vAlign w:val="bottom"/>
          </w:tcPr>
          <w:p w:rsidR="00305E1F" w:rsidRPr="00D15774" w:rsidRDefault="00305E1F" w:rsidP="00305E1F">
            <w:pPr>
              <w:jc w:val="center"/>
              <w:rPr>
                <w:sz w:val="18"/>
                <w:szCs w:val="18"/>
              </w:rPr>
            </w:pPr>
            <w:r w:rsidRPr="00D15774">
              <w:rPr>
                <w:sz w:val="18"/>
                <w:szCs w:val="18"/>
              </w:rPr>
              <w:t>5,259</w:t>
            </w:r>
          </w:p>
        </w:tc>
        <w:tc>
          <w:tcPr>
            <w:tcW w:w="786" w:type="dxa"/>
            <w:shd w:val="clear" w:color="auto" w:fill="auto"/>
            <w:noWrap/>
            <w:vAlign w:val="bottom"/>
          </w:tcPr>
          <w:p w:rsidR="00305E1F" w:rsidRPr="00D15774" w:rsidRDefault="00305E1F" w:rsidP="00305E1F">
            <w:pPr>
              <w:jc w:val="center"/>
              <w:rPr>
                <w:sz w:val="18"/>
                <w:szCs w:val="18"/>
              </w:rPr>
            </w:pPr>
            <w:r w:rsidRPr="00D15774">
              <w:rPr>
                <w:sz w:val="18"/>
                <w:szCs w:val="18"/>
              </w:rPr>
              <w:t>541</w:t>
            </w:r>
          </w:p>
        </w:tc>
      </w:tr>
      <w:tr w:rsidR="00305E1F" w:rsidRPr="00D15774" w:rsidTr="00305E1F">
        <w:trPr>
          <w:trHeight w:val="305"/>
          <w:jc w:val="center"/>
        </w:trPr>
        <w:tc>
          <w:tcPr>
            <w:tcW w:w="2500" w:type="dxa"/>
            <w:shd w:val="clear" w:color="auto" w:fill="auto"/>
            <w:noWrap/>
            <w:vAlign w:val="bottom"/>
          </w:tcPr>
          <w:p w:rsidR="007C28F7" w:rsidRPr="00D15774" w:rsidRDefault="00305E1F" w:rsidP="00305E1F">
            <w:pPr>
              <w:jc w:val="center"/>
              <w:rPr>
                <w:sz w:val="18"/>
                <w:szCs w:val="18"/>
              </w:rPr>
            </w:pPr>
            <w:r w:rsidRPr="00D15774">
              <w:rPr>
                <w:sz w:val="18"/>
                <w:szCs w:val="18"/>
              </w:rPr>
              <w:t>Williston Basin</w:t>
            </w:r>
          </w:p>
          <w:p w:rsidR="00305E1F" w:rsidRPr="00D15774" w:rsidRDefault="007C28F7" w:rsidP="00305E1F">
            <w:pPr>
              <w:jc w:val="center"/>
              <w:rPr>
                <w:sz w:val="18"/>
                <w:szCs w:val="18"/>
              </w:rPr>
            </w:pPr>
            <w:r w:rsidRPr="00D15774">
              <w:rPr>
                <w:sz w:val="18"/>
                <w:szCs w:val="18"/>
              </w:rPr>
              <w:t>(2009 baseline)</w:t>
            </w:r>
          </w:p>
        </w:tc>
        <w:tc>
          <w:tcPr>
            <w:tcW w:w="1397" w:type="dxa"/>
            <w:shd w:val="clear" w:color="auto" w:fill="auto"/>
            <w:noWrap/>
            <w:vAlign w:val="bottom"/>
          </w:tcPr>
          <w:p w:rsidR="00305E1F" w:rsidRPr="00D15774" w:rsidRDefault="00305E1F" w:rsidP="00305E1F">
            <w:pPr>
              <w:jc w:val="center"/>
              <w:rPr>
                <w:sz w:val="18"/>
                <w:szCs w:val="18"/>
              </w:rPr>
            </w:pPr>
            <w:r w:rsidRPr="00D15774">
              <w:rPr>
                <w:sz w:val="18"/>
                <w:szCs w:val="18"/>
              </w:rPr>
              <w:t>14,387</w:t>
            </w:r>
          </w:p>
        </w:tc>
        <w:tc>
          <w:tcPr>
            <w:tcW w:w="1397" w:type="dxa"/>
            <w:shd w:val="clear" w:color="auto" w:fill="auto"/>
            <w:noWrap/>
            <w:vAlign w:val="bottom"/>
          </w:tcPr>
          <w:p w:rsidR="00305E1F" w:rsidRPr="00D15774" w:rsidRDefault="00305E1F" w:rsidP="00305E1F">
            <w:pPr>
              <w:jc w:val="center"/>
              <w:rPr>
                <w:sz w:val="18"/>
                <w:szCs w:val="18"/>
              </w:rPr>
            </w:pPr>
            <w:r w:rsidRPr="00D15774">
              <w:rPr>
                <w:sz w:val="18"/>
                <w:szCs w:val="18"/>
              </w:rPr>
              <w:t>357,798</w:t>
            </w:r>
          </w:p>
        </w:tc>
        <w:tc>
          <w:tcPr>
            <w:tcW w:w="1397" w:type="dxa"/>
            <w:shd w:val="clear" w:color="auto" w:fill="auto"/>
            <w:noWrap/>
            <w:vAlign w:val="bottom"/>
          </w:tcPr>
          <w:p w:rsidR="00305E1F" w:rsidRPr="00D15774" w:rsidRDefault="00305E1F" w:rsidP="00305E1F">
            <w:pPr>
              <w:jc w:val="center"/>
              <w:rPr>
                <w:sz w:val="18"/>
                <w:szCs w:val="18"/>
              </w:rPr>
            </w:pPr>
            <w:r w:rsidRPr="00D15774">
              <w:rPr>
                <w:sz w:val="18"/>
                <w:szCs w:val="18"/>
              </w:rPr>
              <w:t>18,765</w:t>
            </w:r>
          </w:p>
        </w:tc>
        <w:tc>
          <w:tcPr>
            <w:tcW w:w="923" w:type="dxa"/>
            <w:shd w:val="clear" w:color="auto" w:fill="auto"/>
            <w:noWrap/>
            <w:vAlign w:val="bottom"/>
          </w:tcPr>
          <w:p w:rsidR="00305E1F" w:rsidRPr="00D15774" w:rsidRDefault="00305E1F" w:rsidP="00305E1F">
            <w:pPr>
              <w:jc w:val="center"/>
              <w:rPr>
                <w:sz w:val="18"/>
                <w:szCs w:val="18"/>
              </w:rPr>
            </w:pPr>
            <w:r w:rsidRPr="00D15774">
              <w:rPr>
                <w:sz w:val="18"/>
                <w:szCs w:val="18"/>
              </w:rPr>
              <w:t>2,081</w:t>
            </w:r>
          </w:p>
        </w:tc>
        <w:tc>
          <w:tcPr>
            <w:tcW w:w="786" w:type="dxa"/>
            <w:shd w:val="clear" w:color="auto" w:fill="auto"/>
            <w:noWrap/>
            <w:vAlign w:val="bottom"/>
          </w:tcPr>
          <w:p w:rsidR="00305E1F" w:rsidRPr="00D15774" w:rsidRDefault="00305E1F" w:rsidP="00305E1F">
            <w:pPr>
              <w:jc w:val="center"/>
              <w:rPr>
                <w:sz w:val="18"/>
                <w:szCs w:val="18"/>
              </w:rPr>
            </w:pPr>
            <w:r w:rsidRPr="00D15774">
              <w:rPr>
                <w:sz w:val="18"/>
                <w:szCs w:val="18"/>
              </w:rPr>
              <w:t>1,045</w:t>
            </w:r>
          </w:p>
        </w:tc>
      </w:tr>
    </w:tbl>
    <w:p w:rsidR="00B5627E" w:rsidRPr="00D15774" w:rsidRDefault="00B5627E" w:rsidP="00305E1F">
      <w:pPr>
        <w:pStyle w:val="Table"/>
        <w:ind w:left="-720" w:right="-360"/>
        <w:jc w:val="center"/>
        <w:rPr>
          <w:rFonts w:ascii="Times New Roman" w:hAnsi="Times New Roman"/>
        </w:rPr>
      </w:pPr>
    </w:p>
    <w:p w:rsidR="00B5627E" w:rsidRPr="00D15774" w:rsidRDefault="00B5627E" w:rsidP="00305E1F">
      <w:pPr>
        <w:jc w:val="center"/>
      </w:pPr>
    </w:p>
    <w:p w:rsidR="00216331"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Basin specific reports break </w:t>
      </w:r>
      <w:r w:rsidR="00415F17" w:rsidRPr="00D15774">
        <w:t xml:space="preserve">out </w:t>
      </w:r>
      <w:r w:rsidRPr="00D15774">
        <w:t xml:space="preserve">the emission totals for the two primary pollutants of concern (NOx and VOCs) down into source categories from which they came.  These basin specific reports are available for public download and review from the previously cited WRAP Phase III webpage.  By identifying the highest contributing source categories in each basin, one can qualitatively assess which of these source categories will most likely be affected by the </w:t>
      </w:r>
      <w:r w:rsidR="00956808" w:rsidRPr="00D15774">
        <w:t>federal</w:t>
      </w:r>
      <w:r w:rsidR="0095597E" w:rsidRPr="00D15774">
        <w:t xml:space="preserve"> r</w:t>
      </w:r>
      <w:r w:rsidRPr="00D15774">
        <w:t>egulations identified in this analysis.</w:t>
      </w:r>
    </w:p>
    <w:p w:rsidR="008951F6" w:rsidRPr="00D15774" w:rsidRDefault="008951F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2163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It should be noted that all Phase III emission inventories compiled </w:t>
      </w:r>
      <w:r w:rsidR="00576477" w:rsidRPr="00D15774">
        <w:t xml:space="preserve">are based on historical </w:t>
      </w:r>
      <w:r w:rsidRPr="00D15774">
        <w:t>baseline</w:t>
      </w:r>
      <w:r w:rsidR="00576477" w:rsidRPr="00D15774">
        <w:t>s now several years old (2006, or 2009 in the case of Williston)</w:t>
      </w:r>
      <w:r w:rsidR="00226103" w:rsidRPr="00D15774">
        <w:t>.</w:t>
      </w:r>
      <w:r w:rsidRPr="00D15774">
        <w:t xml:space="preserve"> </w:t>
      </w:r>
      <w:r w:rsidR="00415F17" w:rsidRPr="00D15774">
        <w:t xml:space="preserve"> </w:t>
      </w:r>
      <w:r w:rsidR="00576477" w:rsidRPr="00D15774">
        <w:t>In some cases t</w:t>
      </w:r>
      <w:r w:rsidRPr="00D15774">
        <w:t>here may have been additional State rules adopted</w:t>
      </w:r>
      <w:r w:rsidR="00576477" w:rsidRPr="00D15774">
        <w:t xml:space="preserve"> between</w:t>
      </w:r>
      <w:r w:rsidR="0099797E" w:rsidRPr="00D15774">
        <w:t xml:space="preserve"> </w:t>
      </w:r>
      <w:r w:rsidR="00576477" w:rsidRPr="00D15774">
        <w:t xml:space="preserve">the baseline year(s) </w:t>
      </w:r>
      <w:r w:rsidRPr="00D15774">
        <w:t xml:space="preserve">and </w:t>
      </w:r>
      <w:r w:rsidR="00576477" w:rsidRPr="00D15774">
        <w:t xml:space="preserve">the writing of this analysis.  Thus </w:t>
      </w:r>
      <w:r w:rsidRPr="00D15774">
        <w:t>the basin by basin emission totals utilized in this analysis would be affected by any new r</w:t>
      </w:r>
      <w:r w:rsidR="00351514" w:rsidRPr="00D15774">
        <w:t>ules that have been implemented after</w:t>
      </w:r>
      <w:r w:rsidRPr="00D15774">
        <w:t xml:space="preserve"> the Phase III inventories were calculated.</w:t>
      </w:r>
      <w:r w:rsidR="00042617" w:rsidRPr="00D15774">
        <w:br w:type="page"/>
      </w:r>
      <w:r w:rsidR="00042617" w:rsidRPr="00E47241">
        <w:rPr>
          <w:rStyle w:val="Heading3Char"/>
          <w:color w:val="auto"/>
        </w:rPr>
        <w:lastRenderedPageBreak/>
        <w:t>Denver-Julesburg Basin 2006 Emissions</w:t>
      </w:r>
      <w:r w:rsidR="00E21C92" w:rsidRPr="00D15774">
        <w:rPr>
          <w:rStyle w:val="Heading3Char"/>
          <w:rFonts w:ascii="Times New Roman" w:hAnsi="Times New Roman" w:cs="Times New Roman"/>
        </w:rPr>
        <w:fldChar w:fldCharType="begin"/>
      </w:r>
      <w:r w:rsidR="00042617" w:rsidRPr="00D15774">
        <w:rPr>
          <w:rStyle w:val="Heading3Char"/>
          <w:rFonts w:ascii="Times New Roman" w:hAnsi="Times New Roman" w:cs="Times New Roman"/>
        </w:rPr>
        <w:instrText xml:space="preserve"> TC \l</w:instrText>
      </w:r>
      <w:r w:rsidR="00F421CF" w:rsidRPr="00D15774">
        <w:rPr>
          <w:rStyle w:val="Heading3Char"/>
          <w:rFonts w:ascii="Times New Roman" w:hAnsi="Times New Roman" w:cs="Times New Roman"/>
        </w:rPr>
        <w:instrText>3</w:instrText>
      </w:r>
      <w:r w:rsidR="00042617" w:rsidRPr="00D15774">
        <w:rPr>
          <w:rStyle w:val="Heading3Char"/>
          <w:rFonts w:ascii="Times New Roman" w:hAnsi="Times New Roman" w:cs="Times New Roman"/>
        </w:rPr>
        <w:instrText xml:space="preserve"> "</w:instrText>
      </w:r>
      <w:bookmarkStart w:id="70" w:name="_Toc363192337"/>
      <w:r w:rsidR="00042617" w:rsidRPr="00D15774">
        <w:rPr>
          <w:rStyle w:val="Heading3Char"/>
          <w:rFonts w:ascii="Times New Roman" w:hAnsi="Times New Roman" w:cs="Times New Roman"/>
        </w:rPr>
        <w:instrText>Denver-Julesburg Basin 2006 Emissions</w:instrText>
      </w:r>
      <w:bookmarkEnd w:id="70"/>
      <w:r w:rsidR="00E21C92" w:rsidRPr="00D15774">
        <w:rPr>
          <w:rStyle w:val="Heading3Char"/>
          <w:rFonts w:ascii="Times New Roman" w:hAnsi="Times New Roman" w:cs="Times New Roman"/>
        </w:rPr>
        <w:fldChar w:fldCharType="end"/>
      </w:r>
    </w:p>
    <w:p w:rsidR="00042617" w:rsidRPr="008A07D5" w:rsidRDefault="00042617" w:rsidP="00690059">
      <w:pPr>
        <w:pStyle w:val="Heading4"/>
        <w:rPr>
          <w:rFonts w:ascii="Times New Roman" w:hAnsi="Times New Roman" w:cs="Times New Roman"/>
          <w:i w:val="0"/>
        </w:rPr>
      </w:pPr>
      <w:r w:rsidRPr="00D15774">
        <w:rPr>
          <w:rFonts w:ascii="Times New Roman" w:hAnsi="Times New Roman" w:cs="Times New Roman"/>
        </w:rPr>
        <w:tab/>
      </w:r>
      <w:bookmarkStart w:id="71" w:name="_Toc369087015"/>
      <w:r w:rsidRPr="008A07D5">
        <w:rPr>
          <w:rFonts w:ascii="Times New Roman" w:hAnsi="Times New Roman" w:cs="Times New Roman"/>
          <w:i w:val="0"/>
          <w:color w:val="auto"/>
        </w:rPr>
        <w:t>Figure 2:  D-J Basin Boundaries Overlaid With 2006 Oil and Gas Well Locations</w:t>
      </w:r>
      <w:bookmarkEnd w:id="71"/>
      <w:r w:rsidR="00E21C92" w:rsidRPr="008A07D5">
        <w:rPr>
          <w:rFonts w:ascii="Times New Roman" w:hAnsi="Times New Roman" w:cs="Times New Roman"/>
          <w:i w:val="0"/>
          <w:color w:val="auto"/>
        </w:rPr>
        <w:fldChar w:fldCharType="begin"/>
      </w:r>
      <w:r w:rsidRPr="008A07D5">
        <w:rPr>
          <w:rFonts w:ascii="Times New Roman" w:hAnsi="Times New Roman" w:cs="Times New Roman"/>
          <w:i w:val="0"/>
          <w:color w:val="auto"/>
        </w:rPr>
        <w:instrText xml:space="preserve"> TC \l</w:instrText>
      </w:r>
      <w:r w:rsidR="00F421CF" w:rsidRPr="008A07D5">
        <w:rPr>
          <w:rFonts w:ascii="Times New Roman" w:hAnsi="Times New Roman" w:cs="Times New Roman"/>
          <w:i w:val="0"/>
          <w:color w:val="auto"/>
        </w:rPr>
        <w:instrText>4</w:instrText>
      </w:r>
      <w:r w:rsidRPr="008A07D5">
        <w:rPr>
          <w:rFonts w:ascii="Times New Roman" w:hAnsi="Times New Roman" w:cs="Times New Roman"/>
          <w:i w:val="0"/>
          <w:color w:val="auto"/>
        </w:rPr>
        <w:instrText xml:space="preserve"> "</w:instrText>
      </w:r>
      <w:bookmarkStart w:id="72" w:name="_Toc363192338"/>
      <w:r w:rsidRPr="008A07D5">
        <w:rPr>
          <w:rFonts w:ascii="Times New Roman" w:hAnsi="Times New Roman" w:cs="Times New Roman"/>
          <w:i w:val="0"/>
          <w:color w:val="auto"/>
        </w:rPr>
        <w:instrText>Figure 2:  D-J Basin Boundaries Overlaid With 2006 Oil and Gas Well Locations</w:instrText>
      </w:r>
      <w:bookmarkEnd w:id="72"/>
      <w:r w:rsidR="00E21C92" w:rsidRPr="008A07D5">
        <w:rPr>
          <w:rFonts w:ascii="Times New Roman" w:hAnsi="Times New Roman" w:cs="Times New Roman"/>
          <w:i w:val="0"/>
          <w:color w:val="auto"/>
        </w:rPr>
        <w:fldChar w:fldCharType="end"/>
      </w:r>
    </w:p>
    <w:p w:rsidR="00042617" w:rsidRPr="00D15774" w:rsidRDefault="007376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rPr>
          <w:noProof/>
        </w:rPr>
        <mc:AlternateContent>
          <mc:Choice Requires="wps">
            <w:drawing>
              <wp:inline distT="0" distB="0" distL="0" distR="0" wp14:anchorId="1A17CEFA" wp14:editId="1E6C0FE2">
                <wp:extent cx="5923915" cy="7023100"/>
                <wp:effectExtent l="0" t="0" r="635" b="0"/>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678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938" w:rsidRDefault="00645938" w:rsidP="0064743C">
                            <w:pPr>
                              <w:jc w:val="center"/>
                            </w:pPr>
                            <w:r>
                              <w:rPr>
                                <w:noProof/>
                              </w:rPr>
                              <w:drawing>
                                <wp:inline distT="0" distB="0" distL="0" distR="0" wp14:anchorId="6652D136" wp14:editId="1230E042">
                                  <wp:extent cx="5915025" cy="678180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5915025" cy="6781800"/>
                                          </a:xfrm>
                                          <a:prstGeom prst="rect">
                                            <a:avLst/>
                                          </a:prstGeom>
                                          <a:no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inline>
            </w:drawing>
          </mc:Choice>
          <mc:Fallback>
            <w:pict>
              <v:shapetype w14:anchorId="1A17CEFA" id="_x0000_t202" coordsize="21600,21600" o:spt="202" path="m,l,21600r21600,l21600,xe">
                <v:stroke joinstyle="miter"/>
                <v:path gradientshapeok="t" o:connecttype="rect"/>
              </v:shapetype>
              <v:shape id="Text Box 12" o:spid="_x0000_s1026" type="#_x0000_t202" style="width:466.45pt;height:55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" stroked="f">
                <v:textbox style="mso-fit-shape-to-text:t" inset="0,0,0,0">
                  <w:txbxContent>
                    <w:p w:rsidR="00645938" w:rsidRDefault="00645938" w:rsidP="0064743C">
                      <w:pPr>
                        <w:jc w:val="center"/>
                      </w:pPr>
                      <w:r>
                        <w:rPr>
                          <w:noProof/>
                        </w:rPr>
                        <w:drawing>
                          <wp:inline distT="0" distB="0" distL="0" distR="0" wp14:anchorId="6652D136" wp14:editId="1230E042">
                            <wp:extent cx="5915025" cy="678180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5915025" cy="6781800"/>
                                    </a:xfrm>
                                    <a:prstGeom prst="rect">
                                      <a:avLst/>
                                    </a:prstGeom>
                                    <a:noFill/>
                                    <a:ln w="9525">
                                      <a:noFill/>
                                      <a:miter lim="800000"/>
                                      <a:headEnd/>
                                      <a:tailEnd/>
                                    </a:ln>
                                  </pic:spPr>
                                </pic:pic>
                              </a:graphicData>
                            </a:graphic>
                          </wp:inline>
                        </w:drawing>
                      </w:r>
                    </w:p>
                  </w:txbxContent>
                </v:textbox>
                <w10:anchorlock/>
              </v:shape>
            </w:pict>
          </mc:Fallback>
        </mc:AlternateContent>
      </w:r>
      <w:r w:rsidR="00042617" w:rsidRPr="00D15774">
        <w:br w:type="page"/>
      </w:r>
      <w:r w:rsidR="00042617" w:rsidRPr="00D15774">
        <w:lastRenderedPageBreak/>
        <w:t xml:space="preserve">Table </w:t>
      </w:r>
      <w:r w:rsidR="00416BE9" w:rsidRPr="00D15774">
        <w:t>5</w:t>
      </w:r>
      <w:r w:rsidR="00042617" w:rsidRPr="00D15774">
        <w:t xml:space="preserve"> contains a listing of the Denver-Julesburg Basin NOx emissions from </w:t>
      </w:r>
      <w:r w:rsidR="0099797E" w:rsidRPr="00D15774">
        <w:t>ENVIRON</w:t>
      </w:r>
      <w:r w:rsidR="00042617" w:rsidRPr="00D15774">
        <w:t>’s April 30, 2008 Technical Memo, “DEVELOPMENT OF BASELINE 2006 EMISSIONS FROM OIL AND GAS ACTIVITY IN THE DENVER-JULESBURG BASIN” located at:</w:t>
      </w:r>
    </w:p>
    <w:p w:rsidR="00C90EFB" w:rsidRPr="00D15774" w:rsidRDefault="00C90E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645938" w:rsidP="00E13370">
      <w:pPr>
        <w:widowControl w:val="0"/>
        <w:tabs>
          <w:tab w:val="center" w:pos="5760"/>
        </w:tabs>
        <w:spacing w:line="300" w:lineRule="auto"/>
        <w:ind w:left="-540" w:right="-270"/>
        <w:jc w:val="center"/>
        <w:rPr>
          <w:szCs w:val="24"/>
        </w:rPr>
      </w:pPr>
      <w:hyperlink r:id="rId35" w:history="1">
        <w:r w:rsidR="007E2062" w:rsidRPr="00D15774">
          <w:rPr>
            <w:rStyle w:val="Hyperlink"/>
            <w:sz w:val="24"/>
            <w:szCs w:val="24"/>
          </w:rPr>
          <w:t>http://www.wrapair.org/forums/ogwg/documents/2008-04_'06_Baseline_Emissions_DJ_Basin_Technical_Memo_(04-30).pdf</w:t>
        </w:r>
      </w:hyperlink>
    </w:p>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8A07D5" w:rsidRDefault="00042617" w:rsidP="008A07D5">
      <w:pPr>
        <w:pStyle w:val="Heading4"/>
        <w:jc w:val="center"/>
        <w:rPr>
          <w:rFonts w:ascii="Times New Roman" w:hAnsi="Times New Roman" w:cs="Times New Roman"/>
          <w:i w:val="0"/>
          <w:vanish/>
          <w:color w:val="auto"/>
        </w:rPr>
      </w:pPr>
      <w:bookmarkStart w:id="73" w:name="_Toc369087016"/>
      <w:r w:rsidRPr="008A07D5">
        <w:rPr>
          <w:rFonts w:ascii="Times New Roman" w:hAnsi="Times New Roman" w:cs="Times New Roman"/>
          <w:i w:val="0"/>
          <w:color w:val="auto"/>
        </w:rPr>
        <w:t xml:space="preserve">Table </w:t>
      </w:r>
      <w:r w:rsidR="00416BE9" w:rsidRPr="008A07D5">
        <w:rPr>
          <w:rFonts w:ascii="Times New Roman" w:hAnsi="Times New Roman" w:cs="Times New Roman"/>
          <w:i w:val="0"/>
          <w:color w:val="auto"/>
        </w:rPr>
        <w:t>5</w:t>
      </w:r>
      <w:r w:rsidRPr="008A07D5">
        <w:rPr>
          <w:rFonts w:ascii="Times New Roman" w:hAnsi="Times New Roman" w:cs="Times New Roman"/>
          <w:i w:val="0"/>
          <w:color w:val="auto"/>
        </w:rPr>
        <w:t>: Denver-Julesburg Basin 2006 NOx Emission Sources (</w:t>
      </w:r>
      <w:r w:rsidR="0059687A" w:rsidRPr="008A07D5">
        <w:rPr>
          <w:rFonts w:ascii="Times New Roman" w:hAnsi="Times New Roman" w:cs="Times New Roman"/>
          <w:i w:val="0"/>
          <w:color w:val="auto"/>
        </w:rPr>
        <w:t>tpy</w:t>
      </w:r>
      <w:r w:rsidRPr="008A07D5">
        <w:rPr>
          <w:rFonts w:ascii="Times New Roman" w:hAnsi="Times New Roman" w:cs="Times New Roman"/>
          <w:i w:val="0"/>
          <w:color w:val="auto"/>
        </w:rPr>
        <w:t>)</w:t>
      </w:r>
      <w:bookmarkEnd w:id="73"/>
      <w:r w:rsidR="00E21C92" w:rsidRPr="008A07D5">
        <w:rPr>
          <w:rFonts w:ascii="Times New Roman" w:hAnsi="Times New Roman" w:cs="Times New Roman"/>
          <w:i w:val="0"/>
          <w:color w:val="auto"/>
        </w:rPr>
        <w:fldChar w:fldCharType="begin"/>
      </w:r>
      <w:r w:rsidRPr="008A07D5">
        <w:rPr>
          <w:rFonts w:ascii="Times New Roman" w:hAnsi="Times New Roman" w:cs="Times New Roman"/>
          <w:i w:val="0"/>
          <w:color w:val="auto"/>
        </w:rPr>
        <w:instrText xml:space="preserve"> TC \l</w:instrText>
      </w:r>
      <w:r w:rsidR="00F421CF" w:rsidRPr="008A07D5">
        <w:rPr>
          <w:rFonts w:ascii="Times New Roman" w:hAnsi="Times New Roman" w:cs="Times New Roman"/>
          <w:i w:val="0"/>
          <w:color w:val="auto"/>
        </w:rPr>
        <w:instrText>4</w:instrText>
      </w:r>
      <w:r w:rsidRPr="008A07D5">
        <w:rPr>
          <w:rFonts w:ascii="Times New Roman" w:hAnsi="Times New Roman" w:cs="Times New Roman"/>
          <w:i w:val="0"/>
          <w:color w:val="auto"/>
        </w:rPr>
        <w:instrText xml:space="preserve"> "</w:instrText>
      </w:r>
      <w:bookmarkStart w:id="74" w:name="_Toc363192339"/>
      <w:r w:rsidRPr="008A07D5">
        <w:rPr>
          <w:rFonts w:ascii="Times New Roman" w:hAnsi="Times New Roman" w:cs="Times New Roman"/>
          <w:i w:val="0"/>
          <w:color w:val="auto"/>
        </w:rPr>
        <w:instrText>Table 3: Denver-Julesburg Basin 2006 NOx Emission Sources (TPY)</w:instrText>
      </w:r>
      <w:bookmarkEnd w:id="74"/>
      <w:r w:rsidR="00E21C92" w:rsidRPr="008A07D5">
        <w:rPr>
          <w:rFonts w:ascii="Times New Roman" w:hAnsi="Times New Roman" w:cs="Times New Roman"/>
          <w:i w:val="0"/>
          <w:color w:val="auto"/>
        </w:rPr>
        <w:fldChar w:fldCharType="end"/>
      </w:r>
    </w:p>
    <w:tbl>
      <w:tblPr>
        <w:tblW w:w="11521" w:type="dxa"/>
        <w:tblInd w:w="-1093" w:type="dxa"/>
        <w:tblBorders>
          <w:top w:val="nil"/>
          <w:left w:val="nil"/>
          <w:bottom w:val="nil"/>
          <w:right w:val="nil"/>
          <w:insideH w:val="nil"/>
          <w:insideV w:val="nil"/>
        </w:tblBorders>
        <w:tblLayout w:type="fixed"/>
        <w:tblCellMar>
          <w:left w:w="85" w:type="dxa"/>
          <w:right w:w="85" w:type="dxa"/>
        </w:tblCellMar>
        <w:tblLook w:val="0000" w:firstRow="0" w:lastRow="0" w:firstColumn="0" w:lastColumn="0" w:noHBand="0" w:noVBand="0"/>
      </w:tblPr>
      <w:tblGrid>
        <w:gridCol w:w="1372"/>
        <w:gridCol w:w="1014"/>
        <w:gridCol w:w="1326"/>
        <w:gridCol w:w="998"/>
        <w:gridCol w:w="1108"/>
        <w:gridCol w:w="1295"/>
        <w:gridCol w:w="1310"/>
        <w:gridCol w:w="1576"/>
        <w:gridCol w:w="1522"/>
      </w:tblGrid>
      <w:tr w:rsidR="00042617" w:rsidRPr="00D15774" w:rsidTr="003E7EF1">
        <w:trPr>
          <w:trHeight w:val="254"/>
        </w:trPr>
        <w:tc>
          <w:tcPr>
            <w:tcW w:w="1372"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rsidP="00151314"/>
        </w:tc>
        <w:tc>
          <w:tcPr>
            <w:tcW w:w="1014"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rsidP="00151314">
            <w:r w:rsidRPr="00D15774">
              <w:t>Drill rigs</w:t>
            </w:r>
          </w:p>
        </w:tc>
        <w:tc>
          <w:tcPr>
            <w:tcW w:w="1326"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rsidP="00151314">
            <w:r w:rsidRPr="00D15774">
              <w:t>Exempt engines</w:t>
            </w:r>
          </w:p>
        </w:tc>
        <w:tc>
          <w:tcPr>
            <w:tcW w:w="998"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rsidP="00151314">
            <w:r w:rsidRPr="00D15774">
              <w:t>Heaters</w:t>
            </w:r>
          </w:p>
        </w:tc>
        <w:tc>
          <w:tcPr>
            <w:tcW w:w="1108"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rsidP="00151314">
            <w:r w:rsidRPr="00D15774">
              <w:t>Workover Rigs</w:t>
            </w:r>
          </w:p>
        </w:tc>
        <w:tc>
          <w:tcPr>
            <w:tcW w:w="1295"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rsidP="00151314">
            <w:r w:rsidRPr="00D15774">
              <w:t>Compressor Engines</w:t>
            </w:r>
          </w:p>
        </w:tc>
        <w:tc>
          <w:tcPr>
            <w:tcW w:w="1310"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rsidP="00151314">
            <w:r w:rsidRPr="00D15774">
              <w:t>Glycol Dehydrator</w:t>
            </w:r>
          </w:p>
        </w:tc>
        <w:tc>
          <w:tcPr>
            <w:tcW w:w="1576"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rsidP="00151314">
            <w:r w:rsidRPr="00D15774">
              <w:t>Other Categories</w:t>
            </w:r>
          </w:p>
        </w:tc>
        <w:tc>
          <w:tcPr>
            <w:tcW w:w="1522"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3E7EF1" w:rsidRPr="00D15774" w:rsidRDefault="003E7EF1" w:rsidP="00151314">
            <w:r w:rsidRPr="00D15774">
              <w:t>Grand</w:t>
            </w:r>
          </w:p>
          <w:p w:rsidR="00042617" w:rsidRPr="00D15774" w:rsidRDefault="00042617" w:rsidP="00151314">
            <w:r w:rsidRPr="00D15774">
              <w:t>Total</w:t>
            </w:r>
          </w:p>
        </w:tc>
      </w:tr>
      <w:tr w:rsidR="00042617" w:rsidRPr="00D15774" w:rsidTr="003E7EF1">
        <w:trPr>
          <w:trHeight w:hRule="exact" w:val="259"/>
        </w:trPr>
        <w:tc>
          <w:tcPr>
            <w:tcW w:w="1372" w:type="dxa"/>
            <w:tcBorders>
              <w:top w:val="single" w:sz="10" w:space="0" w:color="000000"/>
              <w:left w:val="single" w:sz="10" w:space="0" w:color="000000"/>
              <w:bottom w:val="single" w:sz="10" w:space="0" w:color="000000"/>
              <w:right w:val="single" w:sz="10" w:space="0" w:color="000000"/>
            </w:tcBorders>
            <w:tcMar>
              <w:left w:w="0"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Totals</w:t>
            </w:r>
          </w:p>
        </w:tc>
        <w:tc>
          <w:tcPr>
            <w:tcW w:w="1014"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5,152</w:t>
            </w:r>
          </w:p>
        </w:tc>
        <w:tc>
          <w:tcPr>
            <w:tcW w:w="1326"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2,854</w:t>
            </w:r>
          </w:p>
        </w:tc>
        <w:tc>
          <w:tcPr>
            <w:tcW w:w="998"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565</w:t>
            </w:r>
          </w:p>
        </w:tc>
        <w:tc>
          <w:tcPr>
            <w:tcW w:w="1108"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553</w:t>
            </w:r>
          </w:p>
        </w:tc>
        <w:tc>
          <w:tcPr>
            <w:tcW w:w="1295"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11,506</w:t>
            </w:r>
          </w:p>
        </w:tc>
        <w:tc>
          <w:tcPr>
            <w:tcW w:w="1310"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13</w:t>
            </w:r>
          </w:p>
        </w:tc>
        <w:tc>
          <w:tcPr>
            <w:tcW w:w="1576"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141</w:t>
            </w:r>
          </w:p>
        </w:tc>
        <w:tc>
          <w:tcPr>
            <w:tcW w:w="1522"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20,783</w:t>
            </w:r>
          </w:p>
        </w:tc>
      </w:tr>
      <w:tr w:rsidR="00042617" w:rsidRPr="00D15774" w:rsidTr="003E7EF1">
        <w:trPr>
          <w:trHeight w:hRule="exact" w:val="259"/>
        </w:trPr>
        <w:tc>
          <w:tcPr>
            <w:tcW w:w="1372" w:type="dxa"/>
            <w:tcBorders>
              <w:top w:val="single" w:sz="10" w:space="0" w:color="000000"/>
              <w:left w:val="single" w:sz="10" w:space="0" w:color="000000"/>
              <w:bottom w:val="single" w:sz="10" w:space="0" w:color="000000"/>
              <w:right w:val="single" w:sz="10" w:space="0" w:color="000000"/>
            </w:tcBorders>
            <w:tcMar>
              <w:left w:w="0"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Percent of Total</w:t>
            </w:r>
          </w:p>
        </w:tc>
        <w:tc>
          <w:tcPr>
            <w:tcW w:w="1014"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25%</w:t>
            </w:r>
          </w:p>
        </w:tc>
        <w:tc>
          <w:tcPr>
            <w:tcW w:w="1326"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14%</w:t>
            </w:r>
          </w:p>
        </w:tc>
        <w:tc>
          <w:tcPr>
            <w:tcW w:w="998"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3%</w:t>
            </w:r>
          </w:p>
        </w:tc>
        <w:tc>
          <w:tcPr>
            <w:tcW w:w="1108"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3%</w:t>
            </w:r>
          </w:p>
        </w:tc>
        <w:tc>
          <w:tcPr>
            <w:tcW w:w="1295"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55%</w:t>
            </w:r>
          </w:p>
        </w:tc>
        <w:tc>
          <w:tcPr>
            <w:tcW w:w="1310"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0%</w:t>
            </w:r>
          </w:p>
        </w:tc>
        <w:tc>
          <w:tcPr>
            <w:tcW w:w="1576"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w:t>
            </w:r>
          </w:p>
        </w:tc>
        <w:tc>
          <w:tcPr>
            <w:tcW w:w="1522"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100%</w:t>
            </w:r>
          </w:p>
        </w:tc>
      </w:tr>
    </w:tbl>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C4FEA" w:rsidRPr="00D15774" w:rsidRDefault="00042617" w:rsidP="000C4FE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As can be seen, compressors</w:t>
      </w:r>
      <w:r w:rsidR="001B42E7" w:rsidRPr="00D15774">
        <w:t xml:space="preserve"> (55%)</w:t>
      </w:r>
      <w:r w:rsidRPr="00D15774">
        <w:t xml:space="preserve"> and exempt engines</w:t>
      </w:r>
      <w:r w:rsidR="001B42E7" w:rsidRPr="00D15774">
        <w:t xml:space="preserve"> (14%)</w:t>
      </w:r>
      <w:r w:rsidRPr="00D15774">
        <w:t xml:space="preserve"> </w:t>
      </w:r>
      <w:r w:rsidR="001B42E7" w:rsidRPr="00D15774">
        <w:t>are responsible for</w:t>
      </w:r>
      <w:r w:rsidRPr="00D15774">
        <w:t xml:space="preserve"> 69% of the NOx emissions in the Denver-Julesburg Basin,</w:t>
      </w:r>
      <w:r w:rsidR="00C270EA" w:rsidRPr="00D15774">
        <w:t xml:space="preserve"> followed by 28</w:t>
      </w:r>
      <w:r w:rsidRPr="00D15774">
        <w:t>% from drill</w:t>
      </w:r>
      <w:r w:rsidR="00C270EA" w:rsidRPr="00D15774">
        <w:t xml:space="preserve"> (25%) and workover (3%) </w:t>
      </w:r>
      <w:r w:rsidRPr="00D15774">
        <w:t xml:space="preserve">rigs.  NOx is not covered by the </w:t>
      </w:r>
      <w:r w:rsidR="00C270EA" w:rsidRPr="00D15774">
        <w:t xml:space="preserve">new </w:t>
      </w:r>
      <w:r w:rsidR="00DB6342" w:rsidRPr="00D15774">
        <w:t>federal</w:t>
      </w:r>
      <w:r w:rsidRPr="00D15774">
        <w:t xml:space="preserve"> NSPS</w:t>
      </w:r>
      <w:r w:rsidR="00C270EA" w:rsidRPr="00D15774">
        <w:t xml:space="preserve"> Subpart OOOO</w:t>
      </w:r>
      <w:r w:rsidRPr="00D15774">
        <w:t>, therefore these emission rates should not be affected</w:t>
      </w:r>
      <w:r w:rsidR="00C270EA" w:rsidRPr="00D15774">
        <w:t xml:space="preserve"> by that action</w:t>
      </w:r>
      <w:r w:rsidRPr="00D15774">
        <w:t xml:space="preserve">.  Since there are no Indian Lands in the Denver-Julesburg basin, the new </w:t>
      </w:r>
      <w:r w:rsidR="00E30380" w:rsidRPr="00D15774">
        <w:t>“</w:t>
      </w:r>
      <w:r w:rsidR="006E24A5" w:rsidRPr="00D15774">
        <w:t>Permitting of Minor S</w:t>
      </w:r>
      <w:r w:rsidRPr="00D15774">
        <w:t xml:space="preserve">ources on Indian </w:t>
      </w:r>
      <w:r w:rsidR="00F73C0F" w:rsidRPr="00D15774">
        <w:t>Lands</w:t>
      </w:r>
      <w:r w:rsidR="006E24A5" w:rsidRPr="00D15774">
        <w:t>”</w:t>
      </w:r>
      <w:r w:rsidR="00F73C0F" w:rsidRPr="00D15774">
        <w:t xml:space="preserve"> regulation</w:t>
      </w:r>
      <w:r w:rsidR="00C31746" w:rsidRPr="00D15774">
        <w:t xml:space="preserve"> </w:t>
      </w:r>
      <w:r w:rsidR="00F73C0F" w:rsidRPr="00D15774">
        <w:t>will have no e</w:t>
      </w:r>
      <w:r w:rsidRPr="00D15774">
        <w:t xml:space="preserve">ffect on the emissions in this area either.  </w:t>
      </w:r>
      <w:r w:rsidR="000C4FEA" w:rsidRPr="00D15774">
        <w:t>Thus the overall effect of the new federal regulations is likely to be a non-factor in terms of NOx totals from the Denver-Julesburg Basin.</w:t>
      </w:r>
    </w:p>
    <w:p w:rsidR="000C4FEA" w:rsidRPr="00D15774" w:rsidRDefault="000C4FE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C4FEA" w:rsidRPr="00D15774" w:rsidRDefault="000C4FEA" w:rsidP="000C4FEA">
      <w:pPr>
        <w:widowControl w:val="0"/>
        <w:spacing w:line="300" w:lineRule="auto"/>
        <w:rPr>
          <w:color w:val="000000"/>
          <w:szCs w:val="24"/>
        </w:rPr>
      </w:pPr>
      <w:r w:rsidRPr="00D15774">
        <w:rPr>
          <w:szCs w:val="24"/>
          <w:lang w:val="en-CA"/>
        </w:rPr>
        <w:t>Regarding the 28% of NOx from Nonroad Mobile drill/workover rig engines, the federal</w:t>
      </w:r>
      <w:r w:rsidRPr="00D15774">
        <w:rPr>
          <w:color w:val="000000"/>
          <w:szCs w:val="24"/>
        </w:rPr>
        <w:t xml:space="preserve"> Tier Standards take precedence</w:t>
      </w:r>
      <w:r w:rsidR="00DA694A" w:rsidRPr="00D15774">
        <w:rPr>
          <w:color w:val="000000"/>
          <w:szCs w:val="24"/>
        </w:rPr>
        <w:t xml:space="preserve"> and should be already accounted for in this inventory.</w:t>
      </w:r>
      <w:r w:rsidRPr="00D15774">
        <w:rPr>
          <w:color w:val="000000"/>
          <w:szCs w:val="24"/>
        </w:rPr>
        <w:t xml:space="preserve">  But Colorado </w:t>
      </w:r>
      <w:r w:rsidRPr="00D15774">
        <w:rPr>
          <w:szCs w:val="24"/>
          <w:lang w:val="en-CA"/>
        </w:rPr>
        <w:fldChar w:fldCharType="begin"/>
      </w:r>
      <w:r w:rsidRPr="00D15774">
        <w:rPr>
          <w:szCs w:val="24"/>
          <w:lang w:val="en-CA"/>
        </w:rPr>
        <w:instrText xml:space="preserve"> SEQ CHAPTER \h \r 1</w:instrText>
      </w:r>
      <w:r w:rsidRPr="00D15774">
        <w:rPr>
          <w:szCs w:val="24"/>
          <w:lang w:val="en-CA"/>
        </w:rPr>
        <w:fldChar w:fldCharType="end"/>
      </w:r>
      <w:r w:rsidRPr="00D15774">
        <w:rPr>
          <w:bCs/>
          <w:color w:val="000000"/>
          <w:szCs w:val="24"/>
        </w:rPr>
        <w:t xml:space="preserve">Regulation 3 Part A, I.B.31 may affect some temporary </w:t>
      </w:r>
      <w:r w:rsidRPr="00D15774">
        <w:rPr>
          <w:color w:val="000000"/>
          <w:szCs w:val="24"/>
        </w:rPr>
        <w:t>engines &gt;1200 HP in size with restricted emissions in order to meet ambient air quality standards</w:t>
      </w:r>
      <w:r w:rsidR="002F6CAE" w:rsidRPr="00D15774">
        <w:rPr>
          <w:color w:val="000000"/>
          <w:szCs w:val="24"/>
        </w:rPr>
        <w:t>.</w:t>
      </w:r>
    </w:p>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Table </w:t>
      </w:r>
      <w:r w:rsidR="00416BE9" w:rsidRPr="00D15774">
        <w:t>6</w:t>
      </w:r>
      <w:r w:rsidRPr="00D15774">
        <w:t xml:space="preserve"> contains a listing of the Denver-Julesburg Basin VOC emissions from </w:t>
      </w:r>
      <w:r w:rsidR="0099797E" w:rsidRPr="00D15774">
        <w:t>ENVIRON</w:t>
      </w:r>
      <w:r w:rsidRPr="00D15774">
        <w:t>’s above cited April 30, 2008 Technical Memo.</w:t>
      </w:r>
    </w:p>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8A07D5" w:rsidRDefault="00042617" w:rsidP="008A07D5">
      <w:pPr>
        <w:pStyle w:val="Heading4"/>
        <w:jc w:val="center"/>
        <w:rPr>
          <w:rFonts w:ascii="Times New Roman" w:hAnsi="Times New Roman" w:cs="Times New Roman"/>
          <w:i w:val="0"/>
          <w:vanish/>
          <w:color w:val="auto"/>
        </w:rPr>
      </w:pPr>
      <w:bookmarkStart w:id="75" w:name="_Toc369087017"/>
      <w:r w:rsidRPr="008A07D5">
        <w:rPr>
          <w:rFonts w:ascii="Times New Roman" w:hAnsi="Times New Roman" w:cs="Times New Roman"/>
          <w:i w:val="0"/>
          <w:color w:val="auto"/>
        </w:rPr>
        <w:t xml:space="preserve">Table </w:t>
      </w:r>
      <w:r w:rsidR="00416BE9" w:rsidRPr="008A07D5">
        <w:rPr>
          <w:rFonts w:ascii="Times New Roman" w:hAnsi="Times New Roman" w:cs="Times New Roman"/>
          <w:i w:val="0"/>
          <w:color w:val="auto"/>
        </w:rPr>
        <w:t>6</w:t>
      </w:r>
      <w:r w:rsidRPr="008A07D5">
        <w:rPr>
          <w:rFonts w:ascii="Times New Roman" w:hAnsi="Times New Roman" w:cs="Times New Roman"/>
          <w:i w:val="0"/>
          <w:color w:val="auto"/>
        </w:rPr>
        <w:t>: Denver-Julesburg Basin 2006 VOC Emission Sources (</w:t>
      </w:r>
      <w:r w:rsidR="0059687A" w:rsidRPr="008A07D5">
        <w:rPr>
          <w:rFonts w:ascii="Times New Roman" w:hAnsi="Times New Roman" w:cs="Times New Roman"/>
          <w:i w:val="0"/>
          <w:color w:val="auto"/>
        </w:rPr>
        <w:t>tpy</w:t>
      </w:r>
      <w:r w:rsidRPr="008A07D5">
        <w:rPr>
          <w:rFonts w:ascii="Times New Roman" w:hAnsi="Times New Roman" w:cs="Times New Roman"/>
          <w:i w:val="0"/>
          <w:color w:val="auto"/>
        </w:rPr>
        <w:t>)</w:t>
      </w:r>
      <w:bookmarkEnd w:id="75"/>
      <w:r w:rsidR="00E21C92" w:rsidRPr="008A07D5">
        <w:rPr>
          <w:rFonts w:ascii="Times New Roman" w:hAnsi="Times New Roman" w:cs="Times New Roman"/>
          <w:i w:val="0"/>
          <w:color w:val="auto"/>
        </w:rPr>
        <w:fldChar w:fldCharType="begin"/>
      </w:r>
      <w:r w:rsidRPr="008A07D5">
        <w:rPr>
          <w:rFonts w:ascii="Times New Roman" w:hAnsi="Times New Roman" w:cs="Times New Roman"/>
          <w:i w:val="0"/>
          <w:color w:val="auto"/>
        </w:rPr>
        <w:instrText xml:space="preserve"> TC \l4 "</w:instrText>
      </w:r>
      <w:bookmarkStart w:id="76" w:name="_Toc363192340"/>
      <w:r w:rsidRPr="008A07D5">
        <w:rPr>
          <w:rFonts w:ascii="Times New Roman" w:hAnsi="Times New Roman" w:cs="Times New Roman"/>
          <w:i w:val="0"/>
          <w:color w:val="auto"/>
        </w:rPr>
        <w:instrText>Table 4: Denver-Julesburg Basin 2006 VOC Emission Sources (TPY)</w:instrText>
      </w:r>
      <w:bookmarkEnd w:id="76"/>
      <w:r w:rsidR="00E21C92" w:rsidRPr="008A07D5">
        <w:rPr>
          <w:rFonts w:ascii="Times New Roman" w:hAnsi="Times New Roman" w:cs="Times New Roman"/>
          <w:i w:val="0"/>
          <w:color w:val="auto"/>
        </w:rPr>
        <w:fldChar w:fldCharType="end"/>
      </w:r>
    </w:p>
    <w:tbl>
      <w:tblPr>
        <w:tblW w:w="11520" w:type="dxa"/>
        <w:tblInd w:w="-913" w:type="dxa"/>
        <w:tblBorders>
          <w:top w:val="nil"/>
          <w:left w:val="nil"/>
          <w:bottom w:val="nil"/>
          <w:right w:val="nil"/>
          <w:insideH w:val="nil"/>
          <w:insideV w:val="nil"/>
        </w:tblBorders>
        <w:tblLayout w:type="fixed"/>
        <w:tblCellMar>
          <w:left w:w="35" w:type="dxa"/>
          <w:right w:w="35" w:type="dxa"/>
        </w:tblCellMar>
        <w:tblLook w:val="0000" w:firstRow="0" w:lastRow="0" w:firstColumn="0" w:lastColumn="0" w:noHBand="0" w:noVBand="0"/>
      </w:tblPr>
      <w:tblGrid>
        <w:gridCol w:w="670"/>
        <w:gridCol w:w="437"/>
        <w:gridCol w:w="749"/>
        <w:gridCol w:w="655"/>
        <w:gridCol w:w="702"/>
        <w:gridCol w:w="686"/>
        <w:gridCol w:w="624"/>
        <w:gridCol w:w="749"/>
        <w:gridCol w:w="733"/>
        <w:gridCol w:w="796"/>
        <w:gridCol w:w="796"/>
        <w:gridCol w:w="967"/>
        <w:gridCol w:w="811"/>
        <w:gridCol w:w="764"/>
        <w:gridCol w:w="749"/>
        <w:gridCol w:w="632"/>
      </w:tblGrid>
      <w:tr w:rsidR="00042617" w:rsidRPr="00D15774" w:rsidTr="00521CA1">
        <w:trPr>
          <w:trHeight w:hRule="exact" w:val="662"/>
        </w:trPr>
        <w:tc>
          <w:tcPr>
            <w:tcW w:w="670"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p>
        </w:tc>
        <w:tc>
          <w:tcPr>
            <w:tcW w:w="437"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Drill Rigs</w:t>
            </w:r>
          </w:p>
        </w:tc>
        <w:tc>
          <w:tcPr>
            <w:tcW w:w="749"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Unpermitted Fugitives</w:t>
            </w:r>
          </w:p>
        </w:tc>
        <w:tc>
          <w:tcPr>
            <w:tcW w:w="655"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Permitted Fugitives</w:t>
            </w:r>
          </w:p>
        </w:tc>
        <w:tc>
          <w:tcPr>
            <w:tcW w:w="702"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Large condensate Tanks</w:t>
            </w:r>
          </w:p>
        </w:tc>
        <w:tc>
          <w:tcPr>
            <w:tcW w:w="686"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Pneumatic devices</w:t>
            </w:r>
          </w:p>
        </w:tc>
        <w:tc>
          <w:tcPr>
            <w:tcW w:w="624"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Pneumatic pumps</w:t>
            </w:r>
          </w:p>
        </w:tc>
        <w:tc>
          <w:tcPr>
            <w:tcW w:w="749"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Small condensate</w:t>
            </w:r>
          </w:p>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Tanks</w:t>
            </w:r>
          </w:p>
        </w:tc>
        <w:tc>
          <w:tcPr>
            <w:tcW w:w="733"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Truck loading of condensate liquid</w:t>
            </w:r>
          </w:p>
        </w:tc>
        <w:tc>
          <w:tcPr>
            <w:tcW w:w="796"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Venting – blowdowns</w:t>
            </w:r>
          </w:p>
        </w:tc>
        <w:tc>
          <w:tcPr>
            <w:tcW w:w="796"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Venting - initial completions</w:t>
            </w:r>
          </w:p>
        </w:tc>
        <w:tc>
          <w:tcPr>
            <w:tcW w:w="967"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Venting - recompletions</w:t>
            </w:r>
          </w:p>
        </w:tc>
        <w:tc>
          <w:tcPr>
            <w:tcW w:w="811"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Compressor Engines</w:t>
            </w:r>
          </w:p>
        </w:tc>
        <w:tc>
          <w:tcPr>
            <w:tcW w:w="764"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Glycol Dehydrator</w:t>
            </w:r>
          </w:p>
        </w:tc>
        <w:tc>
          <w:tcPr>
            <w:tcW w:w="749"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Other Categories</w:t>
            </w:r>
          </w:p>
        </w:tc>
        <w:tc>
          <w:tcPr>
            <w:tcW w:w="632"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3E7EF1" w:rsidRPr="00D15774" w:rsidRDefault="003E7EF1">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Grand</w:t>
            </w:r>
          </w:p>
          <w:p w:rsidR="00042617" w:rsidRPr="00D15774" w:rsidRDefault="00042617" w:rsidP="003E7EF1">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Total</w:t>
            </w:r>
          </w:p>
        </w:tc>
      </w:tr>
      <w:tr w:rsidR="00042617" w:rsidRPr="00D15774" w:rsidTr="00521CA1">
        <w:trPr>
          <w:trHeight w:val="254"/>
        </w:trPr>
        <w:tc>
          <w:tcPr>
            <w:tcW w:w="670"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center"/>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Totals</w:t>
            </w:r>
          </w:p>
        </w:tc>
        <w:tc>
          <w:tcPr>
            <w:tcW w:w="437"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center"/>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357</w:t>
            </w:r>
          </w:p>
        </w:tc>
        <w:tc>
          <w:tcPr>
            <w:tcW w:w="749"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center"/>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7564</w:t>
            </w:r>
          </w:p>
        </w:tc>
        <w:tc>
          <w:tcPr>
            <w:tcW w:w="655"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center"/>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460</w:t>
            </w:r>
          </w:p>
        </w:tc>
        <w:tc>
          <w:tcPr>
            <w:tcW w:w="702"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center"/>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40,636</w:t>
            </w:r>
          </w:p>
        </w:tc>
        <w:tc>
          <w:tcPr>
            <w:tcW w:w="68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center"/>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11,545</w:t>
            </w:r>
          </w:p>
        </w:tc>
        <w:tc>
          <w:tcPr>
            <w:tcW w:w="624"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center"/>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836</w:t>
            </w:r>
          </w:p>
        </w:tc>
        <w:tc>
          <w:tcPr>
            <w:tcW w:w="749"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center"/>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12,874</w:t>
            </w:r>
          </w:p>
        </w:tc>
        <w:tc>
          <w:tcPr>
            <w:tcW w:w="733"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center"/>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800</w:t>
            </w:r>
          </w:p>
        </w:tc>
        <w:tc>
          <w:tcPr>
            <w:tcW w:w="79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center"/>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1,744</w:t>
            </w:r>
          </w:p>
        </w:tc>
        <w:tc>
          <w:tcPr>
            <w:tcW w:w="79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center"/>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500</w:t>
            </w:r>
          </w:p>
        </w:tc>
        <w:tc>
          <w:tcPr>
            <w:tcW w:w="967"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center"/>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674</w:t>
            </w:r>
          </w:p>
        </w:tc>
        <w:tc>
          <w:tcPr>
            <w:tcW w:w="811"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center"/>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2,393</w:t>
            </w:r>
          </w:p>
        </w:tc>
        <w:tc>
          <w:tcPr>
            <w:tcW w:w="764"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center"/>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506</w:t>
            </w:r>
          </w:p>
        </w:tc>
        <w:tc>
          <w:tcPr>
            <w:tcW w:w="749"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center"/>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869</w:t>
            </w:r>
          </w:p>
        </w:tc>
        <w:tc>
          <w:tcPr>
            <w:tcW w:w="632"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center"/>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81,758</w:t>
            </w:r>
          </w:p>
        </w:tc>
      </w:tr>
      <w:tr w:rsidR="00042617" w:rsidRPr="00D15774" w:rsidTr="00521CA1">
        <w:trPr>
          <w:trHeight w:val="254"/>
        </w:trPr>
        <w:tc>
          <w:tcPr>
            <w:tcW w:w="670"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Percent of Total</w:t>
            </w:r>
          </w:p>
        </w:tc>
        <w:tc>
          <w:tcPr>
            <w:tcW w:w="437"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0%</w:t>
            </w:r>
          </w:p>
        </w:tc>
        <w:tc>
          <w:tcPr>
            <w:tcW w:w="749"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9%</w:t>
            </w:r>
          </w:p>
        </w:tc>
        <w:tc>
          <w:tcPr>
            <w:tcW w:w="655"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1%</w:t>
            </w:r>
          </w:p>
        </w:tc>
        <w:tc>
          <w:tcPr>
            <w:tcW w:w="702"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50%</w:t>
            </w:r>
          </w:p>
        </w:tc>
        <w:tc>
          <w:tcPr>
            <w:tcW w:w="68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14%</w:t>
            </w:r>
          </w:p>
        </w:tc>
        <w:tc>
          <w:tcPr>
            <w:tcW w:w="624"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1%</w:t>
            </w:r>
          </w:p>
        </w:tc>
        <w:tc>
          <w:tcPr>
            <w:tcW w:w="749"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16%</w:t>
            </w:r>
          </w:p>
        </w:tc>
        <w:tc>
          <w:tcPr>
            <w:tcW w:w="733"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1%</w:t>
            </w:r>
          </w:p>
        </w:tc>
        <w:tc>
          <w:tcPr>
            <w:tcW w:w="79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2%</w:t>
            </w:r>
          </w:p>
        </w:tc>
        <w:tc>
          <w:tcPr>
            <w:tcW w:w="79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1%</w:t>
            </w:r>
          </w:p>
        </w:tc>
        <w:tc>
          <w:tcPr>
            <w:tcW w:w="967"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1%</w:t>
            </w:r>
          </w:p>
        </w:tc>
        <w:tc>
          <w:tcPr>
            <w:tcW w:w="811"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3%</w:t>
            </w:r>
          </w:p>
        </w:tc>
        <w:tc>
          <w:tcPr>
            <w:tcW w:w="764"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1%</w:t>
            </w:r>
          </w:p>
        </w:tc>
        <w:tc>
          <w:tcPr>
            <w:tcW w:w="749"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1%</w:t>
            </w:r>
          </w:p>
        </w:tc>
        <w:tc>
          <w:tcPr>
            <w:tcW w:w="632"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4"/>
              </w:rPr>
            </w:pPr>
            <w:r w:rsidRPr="00D15774">
              <w:rPr>
                <w:sz w:val="14"/>
              </w:rPr>
              <w:t>100%</w:t>
            </w:r>
          </w:p>
        </w:tc>
      </w:tr>
    </w:tbl>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C31746" w:rsidRPr="00D15774" w:rsidRDefault="00203B3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In this case</w:t>
      </w:r>
      <w:r w:rsidR="00042617" w:rsidRPr="00D15774">
        <w:t xml:space="preserve"> </w:t>
      </w:r>
      <w:r w:rsidR="00CB0D1F" w:rsidRPr="00D15774">
        <w:t xml:space="preserve">the </w:t>
      </w:r>
      <w:r w:rsidRPr="00D15774">
        <w:t xml:space="preserve">most significant sources are comprised of </w:t>
      </w:r>
      <w:r w:rsidR="00042617" w:rsidRPr="00D15774">
        <w:t xml:space="preserve">large (50%) and small (16%) condensate tanks </w:t>
      </w:r>
      <w:r w:rsidR="00D54524" w:rsidRPr="00D15774">
        <w:t xml:space="preserve">making up 66% of the D-J VOC emissions.  The next most significant sources are </w:t>
      </w:r>
      <w:r w:rsidR="00042617" w:rsidRPr="00D15774">
        <w:t>14% from pneumatic devices and 9% from unpermitted fugitives.</w:t>
      </w:r>
    </w:p>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C317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The </w:t>
      </w:r>
      <w:r w:rsidRPr="00D15774">
        <w:rPr>
          <w:rStyle w:val="FigureChar"/>
          <w:rFonts w:ascii="Times New Roman" w:hAnsi="Times New Roman"/>
          <w:b w:val="0"/>
          <w:sz w:val="24"/>
        </w:rPr>
        <w:t>Subpart OOOO regulation require</w:t>
      </w:r>
      <w:r w:rsidR="00493D39" w:rsidRPr="00D15774">
        <w:rPr>
          <w:rStyle w:val="FigureChar"/>
          <w:rFonts w:ascii="Times New Roman" w:hAnsi="Times New Roman"/>
          <w:b w:val="0"/>
          <w:sz w:val="24"/>
        </w:rPr>
        <w:t>s</w:t>
      </w:r>
      <w:r w:rsidRPr="00D15774">
        <w:rPr>
          <w:rStyle w:val="FigureChar"/>
          <w:rFonts w:ascii="Times New Roman" w:hAnsi="Times New Roman"/>
          <w:b w:val="0"/>
          <w:sz w:val="24"/>
        </w:rPr>
        <w:t xml:space="preserve"> condensate tanks </w:t>
      </w:r>
      <w:r w:rsidRPr="00D15774">
        <w:t xml:space="preserve">constructed or modified after August </w:t>
      </w:r>
      <w:r w:rsidRPr="00D15774">
        <w:lastRenderedPageBreak/>
        <w:t>23, 2011, with 6 tpy of VOC of uncontrolled emissions</w:t>
      </w:r>
      <w:r w:rsidRPr="00D15774">
        <w:rPr>
          <w:rStyle w:val="FigureChar"/>
          <w:rFonts w:ascii="Times New Roman" w:hAnsi="Times New Roman"/>
          <w:b w:val="0"/>
          <w:sz w:val="24"/>
        </w:rPr>
        <w:t xml:space="preserve"> to reduce VOC by 95%.</w:t>
      </w:r>
      <w:r w:rsidR="00042617" w:rsidRPr="00D15774">
        <w:t xml:space="preserve"> </w:t>
      </w:r>
      <w:r w:rsidRPr="00D15774">
        <w:t xml:space="preserve"> </w:t>
      </w:r>
      <w:r w:rsidR="00042617" w:rsidRPr="00D15774">
        <w:t xml:space="preserve">However the State of Colorado already requires 95% VOC reduction for tanks containing unstabilized condensate at gas processing plants if uncontrolled emissions are greater than or </w:t>
      </w:r>
      <w:r w:rsidR="00F37039" w:rsidRPr="00D15774">
        <w:t xml:space="preserve">equal to 2 </w:t>
      </w:r>
      <w:r w:rsidR="0059687A" w:rsidRPr="00D15774">
        <w:t>tpy</w:t>
      </w:r>
      <w:r w:rsidR="00F37039" w:rsidRPr="00D15774">
        <w:t xml:space="preserve"> (Reg. 7, XII.G.2 – applies only in ozone nonattainment areas)</w:t>
      </w:r>
      <w:r w:rsidR="00042617" w:rsidRPr="00D15774">
        <w:t>.  The 95% control applies for all condensate</w:t>
      </w:r>
      <w:r w:rsidR="00E15D80" w:rsidRPr="00D15774">
        <w:t xml:space="preserve"> tanks</w:t>
      </w:r>
      <w:r w:rsidR="007B4D83" w:rsidRPr="00D15774">
        <w:t xml:space="preserve"> if uncontrolled emissions </w:t>
      </w:r>
      <w:r w:rsidR="00042617" w:rsidRPr="00D15774">
        <w:t xml:space="preserve">are greater than or equal to 20 </w:t>
      </w:r>
      <w:r w:rsidR="0059687A" w:rsidRPr="00D15774">
        <w:t>tpy</w:t>
      </w:r>
      <w:r w:rsidR="00042617" w:rsidRPr="00D15774">
        <w:t xml:space="preserve"> (Reg. 7, XVII.C.1</w:t>
      </w:r>
      <w:r w:rsidR="007B4D83" w:rsidRPr="00D15774">
        <w:rPr>
          <w:szCs w:val="24"/>
        </w:rPr>
        <w:t>).  In addition c</w:t>
      </w:r>
      <w:r w:rsidR="007B4D83" w:rsidRPr="00D15774">
        <w:rPr>
          <w:color w:val="000000"/>
          <w:szCs w:val="24"/>
        </w:rPr>
        <w:t xml:space="preserve">ondensate tanks in ozone non-attainment areas shall be controlled under a system-wide approach </w:t>
      </w:r>
      <w:r w:rsidR="00E15D80" w:rsidRPr="00D15774">
        <w:rPr>
          <w:color w:val="000000"/>
          <w:szCs w:val="24"/>
        </w:rPr>
        <w:t>(Reg. 7, XII.D)</w:t>
      </w:r>
      <w:r w:rsidR="007B4D83" w:rsidRPr="00D15774">
        <w:rPr>
          <w:color w:val="000000"/>
          <w:szCs w:val="24"/>
        </w:rPr>
        <w:t>.</w:t>
      </w:r>
      <w:r w:rsidR="00E15D80" w:rsidRPr="00D15774">
        <w:rPr>
          <w:color w:val="000000"/>
          <w:szCs w:val="24"/>
        </w:rPr>
        <w:t xml:space="preserve"> </w:t>
      </w:r>
      <w:r w:rsidR="00203B36" w:rsidRPr="00D15774">
        <w:rPr>
          <w:color w:val="000000"/>
          <w:szCs w:val="24"/>
        </w:rPr>
        <w:t xml:space="preserve"> </w:t>
      </w:r>
      <w:r w:rsidR="00042617" w:rsidRPr="00D15774">
        <w:rPr>
          <w:szCs w:val="24"/>
        </w:rPr>
        <w:t>F</w:t>
      </w:r>
      <w:r w:rsidR="00042617" w:rsidRPr="00D15774">
        <w:t xml:space="preserve">urthermore if the tanks are within 1/4 mile of an affected building (COGCC HB-07-1341, Section 805.b(2)A), the threshold for </w:t>
      </w:r>
      <w:r w:rsidR="007B4D83" w:rsidRPr="00D15774">
        <w:t>condensate and crude oil tanks</w:t>
      </w:r>
      <w:r w:rsidR="00042617" w:rsidRPr="00D15774">
        <w:t xml:space="preserve"> is lowered to a level of uncontrolled emissions greater than or equal to 5 </w:t>
      </w:r>
      <w:r w:rsidR="0059687A" w:rsidRPr="00D15774">
        <w:t>tpy</w:t>
      </w:r>
      <w:r w:rsidR="00042617" w:rsidRPr="00D15774">
        <w:t xml:space="preserve">.  There are other requirements for auto-ignitors and surveillance at controlled locations based on emission level.  Thus the </w:t>
      </w:r>
      <w:r w:rsidR="007B4D83" w:rsidRPr="00D15774">
        <w:t xml:space="preserve">effect of </w:t>
      </w:r>
      <w:r w:rsidR="00203B36" w:rsidRPr="00D15774">
        <w:t xml:space="preserve">the </w:t>
      </w:r>
      <w:r w:rsidR="007B4D83" w:rsidRPr="00D15774">
        <w:t xml:space="preserve">Subpart OOOO </w:t>
      </w:r>
      <w:r w:rsidR="00203B36" w:rsidRPr="00D15774">
        <w:t xml:space="preserve">tank regulation </w:t>
      </w:r>
      <w:r w:rsidR="007B4D83" w:rsidRPr="00D15774">
        <w:t>on the gross</w:t>
      </w:r>
      <w:r w:rsidR="00042617" w:rsidRPr="00D15774">
        <w:t xml:space="preserve"> </w:t>
      </w:r>
      <w:r w:rsidR="007B4D83" w:rsidRPr="00D15774">
        <w:t xml:space="preserve">emission inventory </w:t>
      </w:r>
      <w:r w:rsidR="00042617" w:rsidRPr="00D15774">
        <w:t>will be minimized in the D-J Basin by existing Colorado regulations.</w:t>
      </w:r>
    </w:p>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Regarding the second la</w:t>
      </w:r>
      <w:r w:rsidR="00515033" w:rsidRPr="00D15774">
        <w:t>rgest source, pneumatic devices, the new regulations of NSPS Subpart OOOO will address VOC emissions by allowing no emissions from devices located at gas processing plants, while devices at other sites would be required to use low bleed devices limited to 6 ft</w:t>
      </w:r>
      <w:r w:rsidR="00515033" w:rsidRPr="00D15774">
        <w:rPr>
          <w:vertAlign w:val="superscript"/>
        </w:rPr>
        <w:t>3</w:t>
      </w:r>
      <w:r w:rsidR="00515033" w:rsidRPr="00D15774">
        <w:t xml:space="preserve">/day </w:t>
      </w:r>
      <w:r w:rsidR="001B42E7" w:rsidRPr="00D15774">
        <w:t>of VOC emissions</w:t>
      </w:r>
      <w:r w:rsidRPr="00D15774">
        <w:t>.  Reg</w:t>
      </w:r>
      <w:r w:rsidR="0099797E" w:rsidRPr="00D15774">
        <w:t>ulation</w:t>
      </w:r>
      <w:r w:rsidRPr="00D15774">
        <w:t xml:space="preserve"> 7, XVIII.C.1 of the CDPHE already requires no or low-bleed pneumatic controllers for all new &amp; existing applications </w:t>
      </w:r>
      <w:r w:rsidR="007B4D83" w:rsidRPr="00D15774">
        <w:t xml:space="preserve">in ozone non-attainment areas </w:t>
      </w:r>
      <w:r w:rsidRPr="00D15774">
        <w:t>(exceptions allowed</w:t>
      </w:r>
      <w:r w:rsidRPr="00D15774">
        <w:rPr>
          <w:szCs w:val="24"/>
        </w:rPr>
        <w:t>)</w:t>
      </w:r>
      <w:r w:rsidR="007B4D83" w:rsidRPr="00D15774">
        <w:rPr>
          <w:szCs w:val="24"/>
        </w:rPr>
        <w:t xml:space="preserve">.  </w:t>
      </w:r>
      <w:r w:rsidR="005C67CD" w:rsidRPr="00D15774">
        <w:rPr>
          <w:szCs w:val="24"/>
        </w:rPr>
        <w:t xml:space="preserve">The </w:t>
      </w:r>
      <w:r w:rsidR="005C67CD" w:rsidRPr="00D15774">
        <w:rPr>
          <w:bCs/>
          <w:color w:val="000000"/>
          <w:szCs w:val="24"/>
        </w:rPr>
        <w:t xml:space="preserve">COGCC HB-07-1341, Section 805.b(2)E requires no or low-bleed required for new, repaired or replaced devices where technically feasible. </w:t>
      </w:r>
      <w:r w:rsidR="005C67CD" w:rsidRPr="00D15774">
        <w:rPr>
          <w:szCs w:val="24"/>
        </w:rPr>
        <w:t xml:space="preserve"> </w:t>
      </w:r>
      <w:r w:rsidR="007B4D83" w:rsidRPr="00D15774">
        <w:rPr>
          <w:szCs w:val="24"/>
        </w:rPr>
        <w:t>S</w:t>
      </w:r>
      <w:r w:rsidRPr="00D15774">
        <w:t xml:space="preserve">o the impact of </w:t>
      </w:r>
      <w:r w:rsidR="00131F63" w:rsidRPr="00D15774">
        <w:t xml:space="preserve">the </w:t>
      </w:r>
      <w:r w:rsidRPr="00D15774">
        <w:t xml:space="preserve">Subpart OOOO </w:t>
      </w:r>
      <w:r w:rsidR="00131F63" w:rsidRPr="00D15774">
        <w:t>pneumatics regulation</w:t>
      </w:r>
      <w:r w:rsidR="00832071" w:rsidRPr="00D15774">
        <w:t xml:space="preserve"> </w:t>
      </w:r>
      <w:r w:rsidR="007B4D83" w:rsidRPr="00D15774">
        <w:t xml:space="preserve">on the gross emission inventory </w:t>
      </w:r>
      <w:r w:rsidR="00E860F8" w:rsidRPr="00D15774">
        <w:t xml:space="preserve">of the D-J Basin </w:t>
      </w:r>
      <w:r w:rsidRPr="00D15774">
        <w:t>would also be minimized by this existing Colorado regulation.</w:t>
      </w:r>
    </w:p>
    <w:p w:rsidR="00515033" w:rsidRPr="00D15774" w:rsidRDefault="00515033" w:rsidP="00C317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pPr>
    </w:p>
    <w:p w:rsidR="00042617" w:rsidRPr="00D15774" w:rsidRDefault="00C31746" w:rsidP="00C317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pPr>
      <w:r w:rsidRPr="00D15774">
        <w:t>T</w:t>
      </w:r>
      <w:r w:rsidRPr="00D15774">
        <w:rPr>
          <w:rStyle w:val="FigureChar"/>
          <w:rFonts w:ascii="Times New Roman" w:hAnsi="Times New Roman"/>
          <w:b w:val="0"/>
          <w:sz w:val="24"/>
        </w:rPr>
        <w:t>he new regulations do not address unpermitted fugitive emissions.</w:t>
      </w:r>
    </w:p>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Regarding the </w:t>
      </w:r>
      <w:r w:rsidR="00956808" w:rsidRPr="00D15774">
        <w:t>federal</w:t>
      </w:r>
      <w:r w:rsidR="0095597E" w:rsidRPr="00D15774">
        <w:t xml:space="preserve"> r</w:t>
      </w:r>
      <w:r w:rsidR="006E24A5" w:rsidRPr="00D15774">
        <w:t>ules for “Permitting of Minor S</w:t>
      </w:r>
      <w:r w:rsidRPr="00D15774">
        <w:t>ou</w:t>
      </w:r>
      <w:r w:rsidR="00381C28" w:rsidRPr="00D15774">
        <w:t>rces on Indian Lands</w:t>
      </w:r>
      <w:r w:rsidR="006E24A5" w:rsidRPr="00D15774">
        <w:t>”</w:t>
      </w:r>
      <w:r w:rsidR="00381C28" w:rsidRPr="00D15774">
        <w:t xml:space="preserve">, as noted </w:t>
      </w:r>
      <w:r w:rsidRPr="00D15774">
        <w:t>for NOx above, there are no Indian Lands in the D-J, therefore the new requirements will have no effect on VOC emission totals in this area in the future.</w:t>
      </w:r>
    </w:p>
    <w:p w:rsidR="00042617" w:rsidRPr="00D15774" w:rsidRDefault="00042617" w:rsidP="000B0BB8">
      <w:pPr>
        <w:pStyle w:val="Heading3"/>
        <w:rPr>
          <w:rFonts w:ascii="Times New Roman" w:hAnsi="Times New Roman" w:cs="Times New Roman"/>
        </w:rPr>
      </w:pPr>
      <w:r w:rsidRPr="00D15774">
        <w:rPr>
          <w:rFonts w:ascii="Times New Roman" w:hAnsi="Times New Roman" w:cs="Times New Roman"/>
        </w:rPr>
        <w:br w:type="page"/>
      </w:r>
      <w:bookmarkStart w:id="77" w:name="_Toc369087018"/>
      <w:r w:rsidRPr="00E47241">
        <w:rPr>
          <w:rFonts w:ascii="Times New Roman" w:hAnsi="Times New Roman" w:cs="Times New Roman"/>
          <w:color w:val="auto"/>
        </w:rPr>
        <w:lastRenderedPageBreak/>
        <w:t>Uinta Basin 2006 Emissions</w:t>
      </w:r>
      <w:bookmarkEnd w:id="77"/>
      <w:r w:rsidR="00E21C92" w:rsidRPr="00D15774">
        <w:rPr>
          <w:rFonts w:ascii="Times New Roman" w:hAnsi="Times New Roman" w:cs="Times New Roman"/>
        </w:rPr>
        <w:fldChar w:fldCharType="begin"/>
      </w:r>
      <w:r w:rsidRPr="00D15774">
        <w:rPr>
          <w:rFonts w:ascii="Times New Roman" w:hAnsi="Times New Roman" w:cs="Times New Roman"/>
        </w:rPr>
        <w:instrText xml:space="preserve"> TC \l3 "</w:instrText>
      </w:r>
      <w:bookmarkStart w:id="78" w:name="_Toc363192341"/>
      <w:r w:rsidRPr="00D15774">
        <w:rPr>
          <w:rFonts w:ascii="Times New Roman" w:hAnsi="Times New Roman" w:cs="Times New Roman"/>
        </w:rPr>
        <w:instrText>Uinta Basin 2006 Emissions</w:instrText>
      </w:r>
      <w:bookmarkEnd w:id="78"/>
      <w:r w:rsidR="00E21C92" w:rsidRPr="00D15774">
        <w:rPr>
          <w:rFonts w:ascii="Times New Roman" w:hAnsi="Times New Roman" w:cs="Times New Roman"/>
        </w:rPr>
        <w:fldChar w:fldCharType="end"/>
      </w:r>
    </w:p>
    <w:p w:rsidR="00042617" w:rsidRPr="008A07D5" w:rsidRDefault="00042617" w:rsidP="008A07D5">
      <w:pPr>
        <w:pStyle w:val="Heading4"/>
        <w:jc w:val="center"/>
        <w:rPr>
          <w:rFonts w:ascii="Times New Roman" w:hAnsi="Times New Roman" w:cs="Times New Roman"/>
          <w:i w:val="0"/>
        </w:rPr>
      </w:pPr>
      <w:bookmarkStart w:id="79" w:name="_Toc369087019"/>
      <w:r w:rsidRPr="008A07D5">
        <w:rPr>
          <w:rFonts w:ascii="Times New Roman" w:hAnsi="Times New Roman" w:cs="Times New Roman"/>
          <w:i w:val="0"/>
          <w:color w:val="auto"/>
        </w:rPr>
        <w:t>Figure 3: Uinta Basin Boundaries Overlaid With 2006 Oil and Gas Well Locations</w:t>
      </w:r>
      <w:bookmarkEnd w:id="79"/>
      <w:r w:rsidR="00E21C92" w:rsidRPr="008A07D5">
        <w:rPr>
          <w:rFonts w:ascii="Times New Roman" w:hAnsi="Times New Roman" w:cs="Times New Roman"/>
          <w:i w:val="0"/>
        </w:rPr>
        <w:fldChar w:fldCharType="begin"/>
      </w:r>
      <w:r w:rsidRPr="008A07D5">
        <w:rPr>
          <w:rFonts w:ascii="Times New Roman" w:hAnsi="Times New Roman" w:cs="Times New Roman"/>
          <w:i w:val="0"/>
        </w:rPr>
        <w:instrText xml:space="preserve"> TC \l4 "</w:instrText>
      </w:r>
      <w:bookmarkStart w:id="80" w:name="_Toc363192342"/>
      <w:r w:rsidRPr="008A07D5">
        <w:rPr>
          <w:rFonts w:ascii="Times New Roman" w:hAnsi="Times New Roman" w:cs="Times New Roman"/>
          <w:i w:val="0"/>
        </w:rPr>
        <w:instrText>Figure 3: Uinta Basin Boundaries Overlaid With 2006 Oil and Gas Well Locations</w:instrText>
      </w:r>
      <w:bookmarkEnd w:id="80"/>
      <w:r w:rsidR="00E21C92" w:rsidRPr="008A07D5">
        <w:rPr>
          <w:rFonts w:ascii="Times New Roman" w:hAnsi="Times New Roman" w:cs="Times New Roman"/>
          <w:i w:val="0"/>
        </w:rPr>
        <w:fldChar w:fldCharType="end"/>
      </w:r>
    </w:p>
    <w:p w:rsidR="00042617" w:rsidRPr="00D15774" w:rsidRDefault="007376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rPr>
          <w:noProof/>
        </w:rPr>
        <mc:AlternateContent>
          <mc:Choice Requires="wps">
            <w:drawing>
              <wp:inline distT="0" distB="0" distL="0" distR="0" wp14:anchorId="32AA1A62" wp14:editId="42C2EDCE">
                <wp:extent cx="5923915" cy="6854825"/>
                <wp:effectExtent l="0" t="0" r="635" b="3175"/>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685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938" w:rsidRDefault="00645938">
                            <w:r>
                              <w:object w:dxaOrig="9329" w:dyaOrig="10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5pt;height:531.1pt" o:ole="">
                                  <v:imagedata r:id="rId36" o:title=""/>
                                </v:shape>
                                <o:OLEObject Type="Embed" ProgID="Presentations.Drawing.16" ShapeID="_x0000_i1025" DrawAspect="Content" ObjectID="_1445544525" r:id="rId37"/>
                              </w:object>
                            </w:r>
                          </w:p>
                        </w:txbxContent>
                      </wps:txbx>
                      <wps:bodyPr rot="0" vert="horz" wrap="none" lIns="0" tIns="0" rIns="0" bIns="0" anchor="t" anchorCtr="0" upright="1">
                        <a:spAutoFit/>
                      </wps:bodyPr>
                    </wps:wsp>
                  </a:graphicData>
                </a:graphic>
              </wp:inline>
            </w:drawing>
          </mc:Choice>
          <mc:Fallback>
            <w:pict>
              <v:shape w14:anchorId="32AA1A62" id="Text Box 10" o:spid="_x0000_s1027" type="#_x0000_t202" style="width:466.45pt;height:539.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" stroked="f">
                <v:textbox style="mso-fit-shape-to-text:t" inset="0,0,0,0">
                  <w:txbxContent>
                    <w:p w:rsidR="00645938" w:rsidRDefault="00645938">
                      <w:r>
                        <w:object w:dxaOrig="9329" w:dyaOrig="10795">
                          <v:shape id="_x0000_i1025" type="#_x0000_t75" style="width:465.5pt;height:531.1pt" o:ole="">
                            <v:imagedata r:id="rId36" o:title=""/>
                          </v:shape>
                          <o:OLEObject Type="Embed" ProgID="Presentations.Drawing.16" ShapeID="_x0000_i1025" DrawAspect="Content" ObjectID="_1445544525" r:id="rId38"/>
                        </w:object>
                      </w:r>
                    </w:p>
                  </w:txbxContent>
                </v:textbox>
                <w10:anchorlock/>
              </v:shape>
            </w:pict>
          </mc:Fallback>
        </mc:AlternateContent>
      </w: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br w:type="page"/>
      </w:r>
      <w:r w:rsidRPr="00D15774">
        <w:lastRenderedPageBreak/>
        <w:t xml:space="preserve">Table </w:t>
      </w:r>
      <w:r w:rsidR="00416BE9" w:rsidRPr="00D15774">
        <w:t>7</w:t>
      </w:r>
      <w:r w:rsidRPr="00D15774">
        <w:t xml:space="preserve"> contains a listing of the Uinta Basin NOx emissions from </w:t>
      </w:r>
      <w:r w:rsidR="0099797E" w:rsidRPr="00D15774">
        <w:t>ENVIRON</w:t>
      </w:r>
      <w:r w:rsidRPr="00D15774">
        <w:t>’s March 25, 2009 Technical Memo, “DEVELOPMENT OF BASELINE 2006 EMISSIONS FROM OIL AND GAS ACTIVITY IN THE UINTA BASIN” located at:</w:t>
      </w: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645938" w:rsidP="00E13370">
      <w:pPr>
        <w:tabs>
          <w:tab w:val="center" w:pos="5760"/>
          <w:tab w:val="left" w:pos="9900"/>
        </w:tabs>
        <w:spacing w:line="300" w:lineRule="auto"/>
        <w:ind w:left="-630" w:right="-270"/>
        <w:jc w:val="center"/>
        <w:rPr>
          <w:szCs w:val="24"/>
        </w:rPr>
      </w:pPr>
      <w:hyperlink r:id="rId39" w:history="1">
        <w:r w:rsidR="007E2062" w:rsidRPr="00D15774">
          <w:rPr>
            <w:rStyle w:val="Hyperlink"/>
            <w:sz w:val="24"/>
            <w:szCs w:val="24"/>
          </w:rPr>
          <w:t>http://www.wrapair.org/forums/ogwg/documents/2009-03_06_Baseline_Emissions_Uinta_Basin_Technical_Memo_03-25.pdf</w:t>
        </w:r>
      </w:hyperlink>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8A07D5" w:rsidRDefault="00042617" w:rsidP="008A07D5">
      <w:pPr>
        <w:pStyle w:val="Heading4"/>
        <w:jc w:val="center"/>
        <w:rPr>
          <w:rFonts w:ascii="Times New Roman" w:hAnsi="Times New Roman" w:cs="Times New Roman"/>
          <w:i w:val="0"/>
        </w:rPr>
      </w:pPr>
      <w:bookmarkStart w:id="81" w:name="_Toc369087020"/>
      <w:r w:rsidRPr="008A07D5">
        <w:rPr>
          <w:rFonts w:ascii="Times New Roman" w:hAnsi="Times New Roman" w:cs="Times New Roman"/>
          <w:i w:val="0"/>
          <w:color w:val="auto"/>
        </w:rPr>
        <w:t xml:space="preserve">Table </w:t>
      </w:r>
      <w:r w:rsidR="00416BE9" w:rsidRPr="008A07D5">
        <w:rPr>
          <w:rFonts w:ascii="Times New Roman" w:hAnsi="Times New Roman" w:cs="Times New Roman"/>
          <w:i w:val="0"/>
          <w:color w:val="auto"/>
        </w:rPr>
        <w:t>7</w:t>
      </w:r>
      <w:r w:rsidRPr="008A07D5">
        <w:rPr>
          <w:rFonts w:ascii="Times New Roman" w:hAnsi="Times New Roman" w:cs="Times New Roman"/>
          <w:i w:val="0"/>
          <w:color w:val="auto"/>
        </w:rPr>
        <w:t>: Uinta Basin 2006 NOx Emission Sources (</w:t>
      </w:r>
      <w:r w:rsidR="0059687A" w:rsidRPr="008A07D5">
        <w:rPr>
          <w:rFonts w:ascii="Times New Roman" w:hAnsi="Times New Roman" w:cs="Times New Roman"/>
          <w:i w:val="0"/>
          <w:color w:val="auto"/>
        </w:rPr>
        <w:t>tpy</w:t>
      </w:r>
      <w:r w:rsidRPr="008A07D5">
        <w:rPr>
          <w:rFonts w:ascii="Times New Roman" w:hAnsi="Times New Roman" w:cs="Times New Roman"/>
          <w:i w:val="0"/>
          <w:color w:val="auto"/>
        </w:rPr>
        <w:t>)</w:t>
      </w:r>
      <w:bookmarkEnd w:id="81"/>
      <w:r w:rsidR="00E21C92" w:rsidRPr="008A07D5">
        <w:rPr>
          <w:rFonts w:ascii="Times New Roman" w:hAnsi="Times New Roman" w:cs="Times New Roman"/>
          <w:i w:val="0"/>
          <w:highlight w:val="yellow"/>
        </w:rPr>
        <w:fldChar w:fldCharType="begin"/>
      </w:r>
      <w:r w:rsidRPr="008A07D5">
        <w:rPr>
          <w:rFonts w:ascii="Times New Roman" w:hAnsi="Times New Roman" w:cs="Times New Roman"/>
          <w:i w:val="0"/>
          <w:highlight w:val="yellow"/>
        </w:rPr>
        <w:instrText xml:space="preserve"> TC \l4 "</w:instrText>
      </w:r>
      <w:bookmarkStart w:id="82" w:name="_Toc363192343"/>
      <w:r w:rsidRPr="008A07D5">
        <w:rPr>
          <w:rFonts w:ascii="Times New Roman" w:hAnsi="Times New Roman" w:cs="Times New Roman"/>
          <w:i w:val="0"/>
          <w:highlight w:val="yellow"/>
        </w:rPr>
        <w:instrText>Table 5: Uinta Basin 2006 NOx Emission Sources (TPY)</w:instrText>
      </w:r>
      <w:bookmarkEnd w:id="82"/>
      <w:r w:rsidR="00E21C92" w:rsidRPr="008A07D5">
        <w:rPr>
          <w:rFonts w:ascii="Times New Roman" w:hAnsi="Times New Roman" w:cs="Times New Roman"/>
          <w:i w:val="0"/>
          <w:highlight w:val="yellow"/>
        </w:rPr>
        <w:fldChar w:fldCharType="end"/>
      </w:r>
    </w:p>
    <w:tbl>
      <w:tblPr>
        <w:tblpPr w:leftFromText="180" w:rightFromText="180" w:vertAnchor="text" w:horzAnchor="margin" w:tblpXSpec="center" w:tblpY="210"/>
        <w:tblW w:w="11444" w:type="dxa"/>
        <w:tblBorders>
          <w:top w:val="nil"/>
          <w:left w:val="nil"/>
          <w:bottom w:val="nil"/>
          <w:right w:val="nil"/>
          <w:insideH w:val="nil"/>
          <w:insideV w:val="nil"/>
        </w:tblBorders>
        <w:tblLayout w:type="fixed"/>
        <w:tblCellMar>
          <w:left w:w="35" w:type="dxa"/>
          <w:right w:w="35" w:type="dxa"/>
        </w:tblCellMar>
        <w:tblLook w:val="0000" w:firstRow="0" w:lastRow="0" w:firstColumn="0" w:lastColumn="0" w:noHBand="0" w:noVBand="0"/>
      </w:tblPr>
      <w:tblGrid>
        <w:gridCol w:w="850"/>
        <w:gridCol w:w="905"/>
        <w:gridCol w:w="842"/>
        <w:gridCol w:w="725"/>
        <w:gridCol w:w="749"/>
        <w:gridCol w:w="827"/>
        <w:gridCol w:w="1061"/>
        <w:gridCol w:w="764"/>
        <w:gridCol w:w="967"/>
        <w:gridCol w:w="967"/>
        <w:gridCol w:w="994"/>
        <w:gridCol w:w="947"/>
        <w:gridCol w:w="846"/>
      </w:tblGrid>
      <w:tr w:rsidR="006E2C18" w:rsidRPr="00D15774" w:rsidTr="00B25294">
        <w:trPr>
          <w:trHeight w:hRule="exact" w:val="835"/>
        </w:trPr>
        <w:tc>
          <w:tcPr>
            <w:tcW w:w="850"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p>
        </w:tc>
        <w:tc>
          <w:tcPr>
            <w:tcW w:w="905"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Compressor engines</w:t>
            </w:r>
          </w:p>
        </w:tc>
        <w:tc>
          <w:tcPr>
            <w:tcW w:w="842"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Condensate tank flaring</w:t>
            </w:r>
          </w:p>
        </w:tc>
        <w:tc>
          <w:tcPr>
            <w:tcW w:w="725"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Drill rigs</w:t>
            </w:r>
          </w:p>
        </w:tc>
        <w:tc>
          <w:tcPr>
            <w:tcW w:w="749"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Heaters</w:t>
            </w:r>
          </w:p>
        </w:tc>
        <w:tc>
          <w:tcPr>
            <w:tcW w:w="827"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Workover rigs</w:t>
            </w:r>
          </w:p>
        </w:tc>
        <w:tc>
          <w:tcPr>
            <w:tcW w:w="1061"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Miscellaneous engines</w:t>
            </w:r>
          </w:p>
        </w:tc>
        <w:tc>
          <w:tcPr>
            <w:tcW w:w="764"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Artificial Lift</w:t>
            </w:r>
          </w:p>
        </w:tc>
        <w:tc>
          <w:tcPr>
            <w:tcW w:w="967"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Dehydrator</w:t>
            </w:r>
          </w:p>
        </w:tc>
        <w:tc>
          <w:tcPr>
            <w:tcW w:w="967"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Dehydrator Flaring</w:t>
            </w:r>
          </w:p>
        </w:tc>
        <w:tc>
          <w:tcPr>
            <w:tcW w:w="994"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B25294" w:rsidRPr="00D15774" w:rsidRDefault="00B25294" w:rsidP="00B2529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Initial completion flaring</w:t>
            </w:r>
          </w:p>
        </w:tc>
        <w:tc>
          <w:tcPr>
            <w:tcW w:w="947"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Permitted Sources</w:t>
            </w:r>
          </w:p>
        </w:tc>
        <w:tc>
          <w:tcPr>
            <w:tcW w:w="846"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3E7EF1" w:rsidRPr="00D15774" w:rsidRDefault="003E7EF1"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Grand</w:t>
            </w:r>
          </w:p>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Total</w:t>
            </w:r>
          </w:p>
        </w:tc>
      </w:tr>
      <w:tr w:rsidR="006E2C18" w:rsidRPr="00D15774" w:rsidTr="006E2C18">
        <w:trPr>
          <w:trHeight w:hRule="exact" w:val="254"/>
        </w:trPr>
        <w:tc>
          <w:tcPr>
            <w:tcW w:w="850"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Totals</w:t>
            </w:r>
          </w:p>
        </w:tc>
        <w:tc>
          <w:tcPr>
            <w:tcW w:w="905"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2207.2</w:t>
            </w:r>
          </w:p>
        </w:tc>
        <w:tc>
          <w:tcPr>
            <w:tcW w:w="842"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0.6</w:t>
            </w:r>
          </w:p>
        </w:tc>
        <w:tc>
          <w:tcPr>
            <w:tcW w:w="725"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4778.8</w:t>
            </w:r>
          </w:p>
        </w:tc>
        <w:tc>
          <w:tcPr>
            <w:tcW w:w="749"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1015.6</w:t>
            </w:r>
          </w:p>
        </w:tc>
        <w:tc>
          <w:tcPr>
            <w:tcW w:w="827"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255.0</w:t>
            </w:r>
          </w:p>
        </w:tc>
        <w:tc>
          <w:tcPr>
            <w:tcW w:w="1061"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163.3</w:t>
            </w:r>
          </w:p>
        </w:tc>
        <w:tc>
          <w:tcPr>
            <w:tcW w:w="764"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2184.5</w:t>
            </w:r>
          </w:p>
        </w:tc>
        <w:tc>
          <w:tcPr>
            <w:tcW w:w="967"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148.1</w:t>
            </w:r>
          </w:p>
        </w:tc>
        <w:tc>
          <w:tcPr>
            <w:tcW w:w="967"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0.1</w:t>
            </w:r>
          </w:p>
        </w:tc>
        <w:tc>
          <w:tcPr>
            <w:tcW w:w="994"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0.6</w:t>
            </w:r>
          </w:p>
        </w:tc>
        <w:tc>
          <w:tcPr>
            <w:tcW w:w="947"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2339.3</w:t>
            </w:r>
          </w:p>
        </w:tc>
        <w:tc>
          <w:tcPr>
            <w:tcW w:w="84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13093</w:t>
            </w:r>
          </w:p>
        </w:tc>
      </w:tr>
      <w:tr w:rsidR="006E2C18" w:rsidRPr="00D15774" w:rsidTr="006E2C18">
        <w:trPr>
          <w:trHeight w:val="254"/>
        </w:trPr>
        <w:tc>
          <w:tcPr>
            <w:tcW w:w="850" w:type="dxa"/>
            <w:tcBorders>
              <w:top w:val="single" w:sz="10" w:space="0" w:color="000000"/>
              <w:left w:val="single" w:sz="10" w:space="0" w:color="000000"/>
              <w:bottom w:val="single" w:sz="10" w:space="0" w:color="000000"/>
              <w:right w:val="single" w:sz="10" w:space="0" w:color="000000"/>
            </w:tcBorders>
            <w:tcMar>
              <w:left w:w="0" w:type="dxa"/>
              <w:bottom w:w="72" w:type="dxa"/>
              <w:right w:w="0"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Percent of Total</w:t>
            </w:r>
          </w:p>
        </w:tc>
        <w:tc>
          <w:tcPr>
            <w:tcW w:w="905"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17%</w:t>
            </w:r>
          </w:p>
        </w:tc>
        <w:tc>
          <w:tcPr>
            <w:tcW w:w="842"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0%</w:t>
            </w:r>
          </w:p>
        </w:tc>
        <w:tc>
          <w:tcPr>
            <w:tcW w:w="725"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36%</w:t>
            </w:r>
          </w:p>
        </w:tc>
        <w:tc>
          <w:tcPr>
            <w:tcW w:w="749"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8%</w:t>
            </w:r>
          </w:p>
        </w:tc>
        <w:tc>
          <w:tcPr>
            <w:tcW w:w="827"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w:t>
            </w:r>
          </w:p>
        </w:tc>
        <w:tc>
          <w:tcPr>
            <w:tcW w:w="1061"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w:t>
            </w:r>
          </w:p>
        </w:tc>
        <w:tc>
          <w:tcPr>
            <w:tcW w:w="764"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17%</w:t>
            </w:r>
          </w:p>
        </w:tc>
        <w:tc>
          <w:tcPr>
            <w:tcW w:w="967"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w:t>
            </w:r>
          </w:p>
        </w:tc>
        <w:tc>
          <w:tcPr>
            <w:tcW w:w="967"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0%</w:t>
            </w:r>
          </w:p>
        </w:tc>
        <w:tc>
          <w:tcPr>
            <w:tcW w:w="994"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0%</w:t>
            </w:r>
          </w:p>
        </w:tc>
        <w:tc>
          <w:tcPr>
            <w:tcW w:w="947"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18%</w:t>
            </w:r>
          </w:p>
        </w:tc>
        <w:tc>
          <w:tcPr>
            <w:tcW w:w="846"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100%</w:t>
            </w:r>
          </w:p>
        </w:tc>
      </w:tr>
      <w:tr w:rsidR="006E2C18" w:rsidRPr="00D15774" w:rsidTr="006E2C18">
        <w:trPr>
          <w:trHeight w:hRule="exact" w:val="144"/>
        </w:trPr>
        <w:tc>
          <w:tcPr>
            <w:tcW w:w="85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p>
        </w:tc>
        <w:tc>
          <w:tcPr>
            <w:tcW w:w="905"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842"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725"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749"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82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106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764"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96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96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994"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94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84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r>
      <w:tr w:rsidR="006E2C18" w:rsidRPr="00D15774" w:rsidTr="006E2C18">
        <w:trPr>
          <w:trHeight w:val="254"/>
        </w:trPr>
        <w:tc>
          <w:tcPr>
            <w:tcW w:w="850"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 xml:space="preserve">Total Tribal </w:t>
            </w:r>
          </w:p>
        </w:tc>
        <w:tc>
          <w:tcPr>
            <w:tcW w:w="905"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1464.0</w:t>
            </w:r>
          </w:p>
        </w:tc>
        <w:tc>
          <w:tcPr>
            <w:tcW w:w="842"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0.4</w:t>
            </w:r>
          </w:p>
        </w:tc>
        <w:tc>
          <w:tcPr>
            <w:tcW w:w="725"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3755.1</w:t>
            </w:r>
          </w:p>
        </w:tc>
        <w:tc>
          <w:tcPr>
            <w:tcW w:w="749"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695.9</w:t>
            </w:r>
          </w:p>
        </w:tc>
        <w:tc>
          <w:tcPr>
            <w:tcW w:w="827"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184.4</w:t>
            </w:r>
          </w:p>
        </w:tc>
        <w:tc>
          <w:tcPr>
            <w:tcW w:w="1061"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111.9</w:t>
            </w:r>
          </w:p>
        </w:tc>
        <w:tc>
          <w:tcPr>
            <w:tcW w:w="764"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1312.0</w:t>
            </w:r>
          </w:p>
        </w:tc>
        <w:tc>
          <w:tcPr>
            <w:tcW w:w="967"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98.2</w:t>
            </w:r>
          </w:p>
        </w:tc>
        <w:tc>
          <w:tcPr>
            <w:tcW w:w="967"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0.1</w:t>
            </w:r>
          </w:p>
        </w:tc>
        <w:tc>
          <w:tcPr>
            <w:tcW w:w="994"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0.4</w:t>
            </w:r>
          </w:p>
        </w:tc>
        <w:tc>
          <w:tcPr>
            <w:tcW w:w="947"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2339.3</w:t>
            </w:r>
          </w:p>
        </w:tc>
        <w:tc>
          <w:tcPr>
            <w:tcW w:w="84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9962</w:t>
            </w:r>
          </w:p>
        </w:tc>
      </w:tr>
      <w:tr w:rsidR="006E2C18" w:rsidRPr="00D15774" w:rsidTr="006E2C18">
        <w:trPr>
          <w:trHeight w:val="259"/>
        </w:trPr>
        <w:tc>
          <w:tcPr>
            <w:tcW w:w="850" w:type="dxa"/>
            <w:tcBorders>
              <w:top w:val="single" w:sz="10" w:space="0" w:color="000000"/>
              <w:left w:val="single" w:sz="10" w:space="0" w:color="000000"/>
              <w:bottom w:val="single" w:sz="10" w:space="0" w:color="000000"/>
              <w:right w:val="single" w:sz="10" w:space="0" w:color="000000"/>
            </w:tcBorders>
            <w:tcMar>
              <w:left w:w="0" w:type="dxa"/>
              <w:bottom w:w="72" w:type="dxa"/>
              <w:right w:w="0"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Total Nontribal</w:t>
            </w:r>
          </w:p>
        </w:tc>
        <w:tc>
          <w:tcPr>
            <w:tcW w:w="905"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743.2</w:t>
            </w:r>
          </w:p>
        </w:tc>
        <w:tc>
          <w:tcPr>
            <w:tcW w:w="842"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0.2</w:t>
            </w:r>
          </w:p>
        </w:tc>
        <w:tc>
          <w:tcPr>
            <w:tcW w:w="725"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1023.7</w:t>
            </w:r>
          </w:p>
        </w:tc>
        <w:tc>
          <w:tcPr>
            <w:tcW w:w="749"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319.7</w:t>
            </w:r>
          </w:p>
        </w:tc>
        <w:tc>
          <w:tcPr>
            <w:tcW w:w="827"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70.6</w:t>
            </w:r>
          </w:p>
        </w:tc>
        <w:tc>
          <w:tcPr>
            <w:tcW w:w="1061"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51.4</w:t>
            </w:r>
          </w:p>
        </w:tc>
        <w:tc>
          <w:tcPr>
            <w:tcW w:w="764"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872.5</w:t>
            </w:r>
          </w:p>
        </w:tc>
        <w:tc>
          <w:tcPr>
            <w:tcW w:w="967"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49.9</w:t>
            </w:r>
          </w:p>
        </w:tc>
        <w:tc>
          <w:tcPr>
            <w:tcW w:w="967"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0.0</w:t>
            </w:r>
          </w:p>
        </w:tc>
        <w:tc>
          <w:tcPr>
            <w:tcW w:w="994"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0.1</w:t>
            </w:r>
          </w:p>
        </w:tc>
        <w:tc>
          <w:tcPr>
            <w:tcW w:w="947"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0.0</w:t>
            </w:r>
          </w:p>
        </w:tc>
        <w:tc>
          <w:tcPr>
            <w:tcW w:w="846"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6E2C18" w:rsidRPr="00D15774" w:rsidRDefault="006E2C18" w:rsidP="006E2C1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3131</w:t>
            </w:r>
          </w:p>
        </w:tc>
      </w:tr>
    </w:tbl>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As can be seen from this table in the Uinta Basin main NOx sources are drill </w:t>
      </w:r>
      <w:r w:rsidR="00DA694A" w:rsidRPr="00D15774">
        <w:t xml:space="preserve">(36%) and workover (2%) </w:t>
      </w:r>
      <w:r w:rsidRPr="00D15774">
        <w:t>rigs with 3</w:t>
      </w:r>
      <w:r w:rsidR="00DA694A" w:rsidRPr="00D15774">
        <w:t>8</w:t>
      </w:r>
      <w:r w:rsidRPr="00D15774">
        <w:t>% of the emissions, followed by 34% from compressors</w:t>
      </w:r>
      <w:r w:rsidR="001B42E7" w:rsidRPr="00D15774">
        <w:t xml:space="preserve"> (17%)</w:t>
      </w:r>
      <w:r w:rsidRPr="00D15774">
        <w:t xml:space="preserve"> and artificial lift engines</w:t>
      </w:r>
      <w:r w:rsidR="001B42E7" w:rsidRPr="00D15774">
        <w:t xml:space="preserve"> (17%).  The next largest category is </w:t>
      </w:r>
      <w:r w:rsidRPr="00D15774">
        <w:t xml:space="preserve">18% from permitted sources.  NOx is not covered by the </w:t>
      </w:r>
      <w:r w:rsidR="00DA694A" w:rsidRPr="00D15774">
        <w:t xml:space="preserve">new federal NSPS Subpart OOOO, </w:t>
      </w:r>
      <w:r w:rsidRPr="00D15774">
        <w:t>therefore these emission rates should not be affected</w:t>
      </w:r>
      <w:r w:rsidR="00DA694A" w:rsidRPr="00D15774">
        <w:t xml:space="preserve"> by that action</w:t>
      </w:r>
      <w:r w:rsidRPr="00D15774">
        <w:t>.</w:t>
      </w:r>
    </w:p>
    <w:p w:rsidR="00DA694A" w:rsidRPr="00D15774" w:rsidRDefault="00DA69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Also seen from the table, the majority of NOx emissions in the Uinta Basin are located on </w:t>
      </w:r>
      <w:r w:rsidR="00765567" w:rsidRPr="00D15774">
        <w:t>Tribal Lands</w:t>
      </w:r>
      <w:r w:rsidRPr="00D15774">
        <w:t xml:space="preserve">.  </w:t>
      </w:r>
      <w:r w:rsidR="00F925ED" w:rsidRPr="00D15774">
        <w:t>Although new</w:t>
      </w:r>
      <w:r w:rsidR="0093120B" w:rsidRPr="00D15774">
        <w:t>ly constructed</w:t>
      </w:r>
      <w:r w:rsidR="00F925ED" w:rsidRPr="00D15774">
        <w:t xml:space="preserve"> sources </w:t>
      </w:r>
      <w:r w:rsidR="0093120B" w:rsidRPr="00D15774">
        <w:t xml:space="preserve">like field compressors, artificial lift engines and heaters </w:t>
      </w:r>
      <w:r w:rsidR="00F925ED" w:rsidRPr="00D15774">
        <w:t xml:space="preserve">will have lower emissions </w:t>
      </w:r>
      <w:r w:rsidR="0093120B" w:rsidRPr="00D15774">
        <w:t>than</w:t>
      </w:r>
      <w:r w:rsidR="00F925ED" w:rsidRPr="00D15774">
        <w:t xml:space="preserve"> previously projected due to the new federal regulation for </w:t>
      </w:r>
      <w:r w:rsidR="006E24A5" w:rsidRPr="00D15774">
        <w:t>“Permitting of Minor S</w:t>
      </w:r>
      <w:r w:rsidR="00F925ED" w:rsidRPr="00D15774">
        <w:t>ources on Indian Lands</w:t>
      </w:r>
      <w:r w:rsidR="006E24A5" w:rsidRPr="00D15774">
        <w:t>”</w:t>
      </w:r>
      <w:r w:rsidR="00F925ED" w:rsidRPr="00D15774">
        <w:t xml:space="preserve">, there will </w:t>
      </w:r>
      <w:r w:rsidR="005631F1" w:rsidRPr="00D15774">
        <w:t xml:space="preserve">also </w:t>
      </w:r>
      <w:r w:rsidR="0093120B" w:rsidRPr="00D15774">
        <w:t xml:space="preserve">likely </w:t>
      </w:r>
      <w:r w:rsidR="00F925ED" w:rsidRPr="00D15774">
        <w:t>be a number of existing sources that were never reported in the past.  These newly captured sources will now be included in emission inventories due to reporting requirements</w:t>
      </w:r>
      <w:r w:rsidR="001435A6" w:rsidRPr="00D15774">
        <w:t xml:space="preserve"> in the federal rule</w:t>
      </w:r>
      <w:r w:rsidR="00F925ED" w:rsidRPr="00D15774">
        <w:t xml:space="preserve">.  Thus we may </w:t>
      </w:r>
      <w:r w:rsidR="005631F1" w:rsidRPr="00D15774">
        <w:t xml:space="preserve">actually </w:t>
      </w:r>
      <w:r w:rsidR="00F925ED" w:rsidRPr="00D15774">
        <w:t>see some increased</w:t>
      </w:r>
      <w:r w:rsidR="00943861" w:rsidRPr="00D15774">
        <w:t xml:space="preserve"> NOx</w:t>
      </w:r>
      <w:r w:rsidR="00F925ED" w:rsidRPr="00D15774">
        <w:t xml:space="preserve"> emissions show up on </w:t>
      </w:r>
      <w:r w:rsidR="00765567" w:rsidRPr="00D15774">
        <w:t>Tribal Lands</w:t>
      </w:r>
      <w:r w:rsidR="00F925ED" w:rsidRPr="00D15774">
        <w:t xml:space="preserve"> </w:t>
      </w:r>
      <w:r w:rsidR="0093120B" w:rsidRPr="00D15774">
        <w:t xml:space="preserve">in the Uinta Basin </w:t>
      </w:r>
      <w:r w:rsidR="00F925ED" w:rsidRPr="00D15774">
        <w:t>in future emission inventories</w:t>
      </w:r>
      <w:r w:rsidR="006F7CB5" w:rsidRPr="00D15774">
        <w:t xml:space="preserve"> due to this permitting regulation.</w:t>
      </w:r>
    </w:p>
    <w:p w:rsidR="00DA694A" w:rsidRPr="00D15774" w:rsidRDefault="00DA694A" w:rsidP="00DA694A">
      <w:pPr>
        <w:widowControl w:val="0"/>
        <w:spacing w:line="300" w:lineRule="auto"/>
        <w:rPr>
          <w:szCs w:val="24"/>
          <w:lang w:val="en-CA"/>
        </w:rPr>
      </w:pPr>
    </w:p>
    <w:p w:rsidR="00DA694A" w:rsidRPr="00D15774" w:rsidRDefault="00DA694A" w:rsidP="00DA694A">
      <w:pPr>
        <w:widowControl w:val="0"/>
        <w:spacing w:line="300" w:lineRule="auto"/>
        <w:rPr>
          <w:color w:val="000000"/>
          <w:szCs w:val="24"/>
        </w:rPr>
      </w:pPr>
      <w:r w:rsidRPr="00D15774">
        <w:rPr>
          <w:szCs w:val="24"/>
          <w:lang w:val="en-CA"/>
        </w:rPr>
        <w:t>Regarding the 38% of NOx from Nonroad Mobile drill/workover rig engines, the federal</w:t>
      </w:r>
      <w:r w:rsidRPr="00D15774">
        <w:rPr>
          <w:color w:val="000000"/>
          <w:szCs w:val="24"/>
        </w:rPr>
        <w:t xml:space="preserve"> Tier Standards take precedence and should be already accounted for in this inventory.</w:t>
      </w: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Table </w:t>
      </w:r>
      <w:r w:rsidR="00416BE9" w:rsidRPr="00D15774">
        <w:t>8</w:t>
      </w:r>
      <w:r w:rsidRPr="00D15774">
        <w:t xml:space="preserve"> contains a listing of the Uinta Basin VOC emissions, as taken from </w:t>
      </w:r>
      <w:r w:rsidR="0099797E" w:rsidRPr="00D15774">
        <w:t>ENVIRON</w:t>
      </w:r>
      <w:r w:rsidRPr="00D15774">
        <w:t>’s above cited March 25, 2009 Technical Memo.</w:t>
      </w:r>
    </w:p>
    <w:p w:rsidR="00042617" w:rsidRPr="008A07D5" w:rsidRDefault="00042617" w:rsidP="008A07D5">
      <w:pPr>
        <w:pStyle w:val="Heading4"/>
        <w:jc w:val="center"/>
        <w:rPr>
          <w:rFonts w:ascii="Times New Roman" w:hAnsi="Times New Roman" w:cs="Times New Roman"/>
          <w:i w:val="0"/>
          <w:vanish/>
          <w:color w:val="auto"/>
        </w:rPr>
      </w:pPr>
      <w:bookmarkStart w:id="83" w:name="_Toc369087021"/>
      <w:r w:rsidRPr="008A07D5">
        <w:rPr>
          <w:rFonts w:ascii="Times New Roman" w:hAnsi="Times New Roman" w:cs="Times New Roman"/>
          <w:i w:val="0"/>
          <w:color w:val="auto"/>
        </w:rPr>
        <w:lastRenderedPageBreak/>
        <w:t xml:space="preserve">Table </w:t>
      </w:r>
      <w:r w:rsidR="00416BE9" w:rsidRPr="008A07D5">
        <w:rPr>
          <w:rFonts w:ascii="Times New Roman" w:hAnsi="Times New Roman" w:cs="Times New Roman"/>
          <w:i w:val="0"/>
          <w:color w:val="auto"/>
        </w:rPr>
        <w:t>8</w:t>
      </w:r>
      <w:r w:rsidRPr="008A07D5">
        <w:rPr>
          <w:rFonts w:ascii="Times New Roman" w:hAnsi="Times New Roman" w:cs="Times New Roman"/>
          <w:i w:val="0"/>
          <w:color w:val="auto"/>
        </w:rPr>
        <w:t>: Uinta Basin 2006 VOC Emission Sources (</w:t>
      </w:r>
      <w:r w:rsidR="0059687A" w:rsidRPr="008A07D5">
        <w:rPr>
          <w:rFonts w:ascii="Times New Roman" w:hAnsi="Times New Roman" w:cs="Times New Roman"/>
          <w:i w:val="0"/>
          <w:color w:val="auto"/>
        </w:rPr>
        <w:t>tpy</w:t>
      </w:r>
      <w:r w:rsidRPr="008A07D5">
        <w:rPr>
          <w:rFonts w:ascii="Times New Roman" w:hAnsi="Times New Roman" w:cs="Times New Roman"/>
          <w:i w:val="0"/>
          <w:color w:val="auto"/>
        </w:rPr>
        <w:t>)</w:t>
      </w:r>
      <w:bookmarkEnd w:id="83"/>
      <w:r w:rsidR="00E21C92" w:rsidRPr="008A07D5">
        <w:rPr>
          <w:rFonts w:ascii="Times New Roman" w:hAnsi="Times New Roman" w:cs="Times New Roman"/>
          <w:i w:val="0"/>
          <w:color w:val="auto"/>
        </w:rPr>
        <w:fldChar w:fldCharType="begin"/>
      </w:r>
      <w:r w:rsidRPr="008A07D5">
        <w:rPr>
          <w:rFonts w:ascii="Times New Roman" w:hAnsi="Times New Roman" w:cs="Times New Roman"/>
          <w:i w:val="0"/>
          <w:color w:val="auto"/>
        </w:rPr>
        <w:instrText xml:space="preserve"> TC \l4 "</w:instrText>
      </w:r>
      <w:bookmarkStart w:id="84" w:name="_Toc363192344"/>
      <w:r w:rsidRPr="008A07D5">
        <w:rPr>
          <w:rFonts w:ascii="Times New Roman" w:hAnsi="Times New Roman" w:cs="Times New Roman"/>
          <w:i w:val="0"/>
          <w:color w:val="auto"/>
        </w:rPr>
        <w:instrText>Table 6: Uinta Basin 2006 VOC Emission Sources (TPY)</w:instrText>
      </w:r>
      <w:bookmarkEnd w:id="84"/>
      <w:r w:rsidR="00E21C92" w:rsidRPr="008A07D5">
        <w:rPr>
          <w:rFonts w:ascii="Times New Roman" w:hAnsi="Times New Roman" w:cs="Times New Roman"/>
          <w:i w:val="0"/>
          <w:color w:val="auto"/>
        </w:rPr>
        <w:fldChar w:fldCharType="end"/>
      </w:r>
    </w:p>
    <w:tbl>
      <w:tblPr>
        <w:tblW w:w="11475" w:type="dxa"/>
        <w:tblInd w:w="-1093" w:type="dxa"/>
        <w:tblBorders>
          <w:top w:val="nil"/>
          <w:left w:val="nil"/>
          <w:bottom w:val="nil"/>
          <w:right w:val="nil"/>
          <w:insideH w:val="nil"/>
          <w:insideV w:val="nil"/>
        </w:tblBorders>
        <w:tblLayout w:type="fixed"/>
        <w:tblCellMar>
          <w:left w:w="35" w:type="dxa"/>
          <w:right w:w="35" w:type="dxa"/>
        </w:tblCellMar>
        <w:tblLook w:val="0000" w:firstRow="0" w:lastRow="0" w:firstColumn="0" w:lastColumn="0" w:noHBand="0" w:noVBand="0"/>
      </w:tblPr>
      <w:tblGrid>
        <w:gridCol w:w="874"/>
        <w:gridCol w:w="749"/>
        <w:gridCol w:w="780"/>
        <w:gridCol w:w="827"/>
        <w:gridCol w:w="811"/>
        <w:gridCol w:w="936"/>
        <w:gridCol w:w="874"/>
        <w:gridCol w:w="858"/>
        <w:gridCol w:w="686"/>
        <w:gridCol w:w="780"/>
        <w:gridCol w:w="858"/>
        <w:gridCol w:w="905"/>
        <w:gridCol w:w="780"/>
        <w:gridCol w:w="757"/>
      </w:tblGrid>
      <w:tr w:rsidR="00042617" w:rsidRPr="00D15774" w:rsidTr="003E7EF1">
        <w:trPr>
          <w:trHeight w:val="254"/>
        </w:trPr>
        <w:tc>
          <w:tcPr>
            <w:tcW w:w="874"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rsidP="003E7EF1">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left="-236"/>
              <w:jc w:val="center"/>
              <w:rPr>
                <w:sz w:val="16"/>
              </w:rPr>
            </w:pPr>
          </w:p>
        </w:tc>
        <w:tc>
          <w:tcPr>
            <w:tcW w:w="749"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Oil Well Truck Loading</w:t>
            </w:r>
          </w:p>
        </w:tc>
        <w:tc>
          <w:tcPr>
            <w:tcW w:w="780"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Gas Well Truck Loading</w:t>
            </w:r>
          </w:p>
        </w:tc>
        <w:tc>
          <w:tcPr>
            <w:tcW w:w="827"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Pneumatic devices</w:t>
            </w:r>
          </w:p>
        </w:tc>
        <w:tc>
          <w:tcPr>
            <w:tcW w:w="811"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Pneumatic pumps</w:t>
            </w:r>
          </w:p>
        </w:tc>
        <w:tc>
          <w:tcPr>
            <w:tcW w:w="936"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Unpermitted Fugitives</w:t>
            </w:r>
          </w:p>
        </w:tc>
        <w:tc>
          <w:tcPr>
            <w:tcW w:w="874"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Glycol Dehydrator</w:t>
            </w:r>
          </w:p>
        </w:tc>
        <w:tc>
          <w:tcPr>
            <w:tcW w:w="858"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Condensate Tank</w:t>
            </w:r>
          </w:p>
        </w:tc>
        <w:tc>
          <w:tcPr>
            <w:tcW w:w="686"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Oil Tank</w:t>
            </w:r>
          </w:p>
        </w:tc>
        <w:tc>
          <w:tcPr>
            <w:tcW w:w="780"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Permitted Sources</w:t>
            </w:r>
          </w:p>
        </w:tc>
        <w:tc>
          <w:tcPr>
            <w:tcW w:w="858"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Venting - Compressor Startup</w:t>
            </w:r>
          </w:p>
        </w:tc>
        <w:tc>
          <w:tcPr>
            <w:tcW w:w="905"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Venting - Compressor Shutdown</w:t>
            </w:r>
          </w:p>
        </w:tc>
        <w:tc>
          <w:tcPr>
            <w:tcW w:w="780"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Other Categories</w:t>
            </w:r>
          </w:p>
        </w:tc>
        <w:tc>
          <w:tcPr>
            <w:tcW w:w="757"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3E7EF1" w:rsidRPr="00D15774" w:rsidRDefault="003E7EF1">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p>
          <w:p w:rsidR="003E7EF1" w:rsidRPr="00D15774" w:rsidRDefault="003E7EF1">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Grand</w:t>
            </w:r>
          </w:p>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Total</w:t>
            </w:r>
          </w:p>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p>
        </w:tc>
      </w:tr>
      <w:tr w:rsidR="00042617" w:rsidRPr="00D15774" w:rsidTr="003E7EF1">
        <w:trPr>
          <w:trHeight w:val="254"/>
        </w:trPr>
        <w:tc>
          <w:tcPr>
            <w:tcW w:w="874" w:type="dxa"/>
            <w:tcBorders>
              <w:top w:val="single" w:sz="10" w:space="0" w:color="000000"/>
              <w:left w:val="single" w:sz="10" w:space="0" w:color="000000"/>
              <w:bottom w:val="single" w:sz="10" w:space="0" w:color="000000"/>
              <w:right w:val="single" w:sz="10" w:space="0" w:color="000000"/>
            </w:tcBorders>
            <w:shd w:val="clear" w:color="000000" w:fill="FFFFFF"/>
            <w:tcMar>
              <w:top w:w="72" w:type="dxa"/>
              <w:left w:w="0" w:type="dxa"/>
              <w:bottom w:w="72" w:type="dxa"/>
              <w:right w:w="0" w:type="dxa"/>
            </w:tcMar>
            <w:vAlign w:val="center"/>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Totals</w:t>
            </w:r>
          </w:p>
        </w:tc>
        <w:tc>
          <w:tcPr>
            <w:tcW w:w="749" w:type="dxa"/>
            <w:tcBorders>
              <w:top w:val="single" w:sz="10" w:space="0" w:color="000000"/>
              <w:left w:val="single" w:sz="10" w:space="0" w:color="000000"/>
              <w:bottom w:val="single" w:sz="10" w:space="0" w:color="000000"/>
              <w:right w:val="single" w:sz="10" w:space="0" w:color="000000"/>
            </w:tcBorders>
            <w:shd w:val="clear" w:color="000000" w:fill="FFFFFF"/>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963.9</w:t>
            </w:r>
          </w:p>
        </w:tc>
        <w:tc>
          <w:tcPr>
            <w:tcW w:w="780" w:type="dxa"/>
            <w:tcBorders>
              <w:top w:val="single" w:sz="10" w:space="0" w:color="000000"/>
              <w:left w:val="single" w:sz="10" w:space="0" w:color="000000"/>
              <w:bottom w:val="single" w:sz="10" w:space="0" w:color="000000"/>
              <w:right w:val="single" w:sz="10" w:space="0" w:color="000000"/>
            </w:tcBorders>
            <w:shd w:val="clear" w:color="000000" w:fill="FFFFFF"/>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127.0</w:t>
            </w:r>
          </w:p>
        </w:tc>
        <w:tc>
          <w:tcPr>
            <w:tcW w:w="827" w:type="dxa"/>
            <w:tcBorders>
              <w:top w:val="single" w:sz="10" w:space="0" w:color="000000"/>
              <w:left w:val="single" w:sz="10" w:space="0" w:color="000000"/>
              <w:bottom w:val="single" w:sz="10" w:space="0" w:color="000000"/>
              <w:right w:val="single" w:sz="10" w:space="0" w:color="000000"/>
            </w:tcBorders>
            <w:shd w:val="clear" w:color="000000" w:fill="FFFFFF"/>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14915.7</w:t>
            </w:r>
          </w:p>
        </w:tc>
        <w:tc>
          <w:tcPr>
            <w:tcW w:w="811" w:type="dxa"/>
            <w:tcBorders>
              <w:top w:val="single" w:sz="10" w:space="0" w:color="000000"/>
              <w:left w:val="single" w:sz="10" w:space="0" w:color="000000"/>
              <w:bottom w:val="single" w:sz="10" w:space="0" w:color="000000"/>
              <w:right w:val="single" w:sz="10" w:space="0" w:color="000000"/>
            </w:tcBorders>
            <w:shd w:val="clear" w:color="000000" w:fill="FFFFFF"/>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8385.7</w:t>
            </w:r>
          </w:p>
        </w:tc>
        <w:tc>
          <w:tcPr>
            <w:tcW w:w="936" w:type="dxa"/>
            <w:tcBorders>
              <w:top w:val="single" w:sz="10" w:space="0" w:color="000000"/>
              <w:left w:val="single" w:sz="10" w:space="0" w:color="000000"/>
              <w:bottom w:val="single" w:sz="10" w:space="0" w:color="000000"/>
              <w:right w:val="single" w:sz="10" w:space="0" w:color="000000"/>
            </w:tcBorders>
            <w:shd w:val="clear" w:color="000000" w:fill="FFFFFF"/>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1909.6</w:t>
            </w:r>
          </w:p>
        </w:tc>
        <w:tc>
          <w:tcPr>
            <w:tcW w:w="874" w:type="dxa"/>
            <w:tcBorders>
              <w:top w:val="single" w:sz="10" w:space="0" w:color="000000"/>
              <w:left w:val="single" w:sz="10" w:space="0" w:color="000000"/>
              <w:bottom w:val="single" w:sz="10" w:space="0" w:color="000000"/>
              <w:right w:val="single" w:sz="10" w:space="0" w:color="000000"/>
            </w:tcBorders>
            <w:shd w:val="clear" w:color="000000" w:fill="FFFFFF"/>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19470.5</w:t>
            </w:r>
          </w:p>
        </w:tc>
        <w:tc>
          <w:tcPr>
            <w:tcW w:w="858" w:type="dxa"/>
            <w:tcBorders>
              <w:top w:val="single" w:sz="10" w:space="0" w:color="000000"/>
              <w:left w:val="single" w:sz="10" w:space="0" w:color="000000"/>
              <w:bottom w:val="single" w:sz="10" w:space="0" w:color="000000"/>
              <w:right w:val="single" w:sz="10" w:space="0" w:color="000000"/>
            </w:tcBorders>
            <w:shd w:val="clear" w:color="000000" w:fill="FFFFFF"/>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6194.6</w:t>
            </w:r>
          </w:p>
        </w:tc>
        <w:tc>
          <w:tcPr>
            <w:tcW w:w="686" w:type="dxa"/>
            <w:tcBorders>
              <w:top w:val="single" w:sz="10" w:space="0" w:color="000000"/>
              <w:left w:val="single" w:sz="10" w:space="0" w:color="000000"/>
              <w:bottom w:val="single" w:sz="10" w:space="0" w:color="000000"/>
              <w:right w:val="single" w:sz="10" w:space="0" w:color="000000"/>
            </w:tcBorders>
            <w:shd w:val="clear" w:color="000000" w:fill="FFFFFF"/>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14356.7</w:t>
            </w:r>
          </w:p>
        </w:tc>
        <w:tc>
          <w:tcPr>
            <w:tcW w:w="780" w:type="dxa"/>
            <w:tcBorders>
              <w:top w:val="single" w:sz="10" w:space="0" w:color="000000"/>
              <w:left w:val="single" w:sz="10" w:space="0" w:color="000000"/>
              <w:bottom w:val="single" w:sz="10" w:space="0" w:color="000000"/>
              <w:right w:val="single" w:sz="10" w:space="0" w:color="000000"/>
            </w:tcBorders>
            <w:shd w:val="clear" w:color="000000" w:fill="FFFFFF"/>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1320.4</w:t>
            </w:r>
          </w:p>
        </w:tc>
        <w:tc>
          <w:tcPr>
            <w:tcW w:w="858" w:type="dxa"/>
            <w:tcBorders>
              <w:top w:val="single" w:sz="10" w:space="0" w:color="000000"/>
              <w:left w:val="single" w:sz="10" w:space="0" w:color="000000"/>
              <w:bottom w:val="single" w:sz="10" w:space="0" w:color="000000"/>
              <w:right w:val="single" w:sz="10" w:space="0" w:color="000000"/>
            </w:tcBorders>
            <w:shd w:val="clear" w:color="000000" w:fill="FFFFFF"/>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825.4</w:t>
            </w:r>
          </w:p>
        </w:tc>
        <w:tc>
          <w:tcPr>
            <w:tcW w:w="905" w:type="dxa"/>
            <w:tcBorders>
              <w:top w:val="single" w:sz="10" w:space="0" w:color="000000"/>
              <w:left w:val="single" w:sz="10" w:space="0" w:color="000000"/>
              <w:bottom w:val="single" w:sz="10" w:space="0" w:color="000000"/>
              <w:right w:val="single" w:sz="10" w:space="0" w:color="000000"/>
            </w:tcBorders>
            <w:shd w:val="clear" w:color="000000" w:fill="FFFFFF"/>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782.4</w:t>
            </w:r>
          </w:p>
        </w:tc>
        <w:tc>
          <w:tcPr>
            <w:tcW w:w="780" w:type="dxa"/>
            <w:tcBorders>
              <w:top w:val="single" w:sz="10" w:space="0" w:color="000000"/>
              <w:left w:val="single" w:sz="10" w:space="0" w:color="000000"/>
              <w:bottom w:val="single" w:sz="10" w:space="0" w:color="000000"/>
              <w:right w:val="single" w:sz="10" w:space="0" w:color="000000"/>
            </w:tcBorders>
            <w:shd w:val="clear" w:color="000000" w:fill="FFFFFF"/>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2294.3</w:t>
            </w:r>
          </w:p>
        </w:tc>
        <w:tc>
          <w:tcPr>
            <w:tcW w:w="757" w:type="dxa"/>
            <w:tcBorders>
              <w:top w:val="single" w:sz="10" w:space="0" w:color="000000"/>
              <w:left w:val="single" w:sz="10" w:space="0" w:color="000000"/>
              <w:bottom w:val="single" w:sz="10" w:space="0" w:color="000000"/>
              <w:right w:val="single" w:sz="10" w:space="0" w:color="000000"/>
            </w:tcBorders>
            <w:shd w:val="clear" w:color="000000" w:fill="FFFFFF"/>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71546.0</w:t>
            </w:r>
          </w:p>
        </w:tc>
      </w:tr>
      <w:tr w:rsidR="00042617" w:rsidRPr="00D15774" w:rsidTr="003E7EF1">
        <w:trPr>
          <w:trHeight w:val="254"/>
        </w:trPr>
        <w:tc>
          <w:tcPr>
            <w:tcW w:w="874" w:type="dxa"/>
            <w:tcBorders>
              <w:top w:val="single" w:sz="10" w:space="0" w:color="000000"/>
              <w:left w:val="single" w:sz="10" w:space="0" w:color="000000"/>
              <w:bottom w:val="single" w:sz="10" w:space="0" w:color="000000"/>
              <w:right w:val="single" w:sz="10" w:space="0" w:color="000000"/>
            </w:tcBorders>
            <w:shd w:val="clear" w:color="000000" w:fill="FFFFFF"/>
            <w:tcMar>
              <w:left w:w="0" w:type="dxa"/>
              <w:bottom w:w="72" w:type="dxa"/>
              <w:right w:w="0" w:type="dxa"/>
            </w:tcMar>
            <w:vAlign w:val="center"/>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Percent of Total</w:t>
            </w:r>
          </w:p>
        </w:tc>
        <w:tc>
          <w:tcPr>
            <w:tcW w:w="749" w:type="dxa"/>
            <w:tcBorders>
              <w:top w:val="single" w:sz="10" w:space="0" w:color="000000"/>
              <w:left w:val="single" w:sz="10" w:space="0" w:color="000000"/>
              <w:bottom w:val="single" w:sz="10" w:space="0" w:color="000000"/>
              <w:right w:val="single" w:sz="10" w:space="0" w:color="000000"/>
            </w:tcBorders>
            <w:shd w:val="clear" w:color="000000" w:fill="FFFFFF"/>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w:t>
            </w:r>
          </w:p>
        </w:tc>
        <w:tc>
          <w:tcPr>
            <w:tcW w:w="780"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0%</w:t>
            </w:r>
          </w:p>
        </w:tc>
        <w:tc>
          <w:tcPr>
            <w:tcW w:w="827"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21%</w:t>
            </w:r>
          </w:p>
        </w:tc>
        <w:tc>
          <w:tcPr>
            <w:tcW w:w="811"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12%</w:t>
            </w:r>
          </w:p>
        </w:tc>
        <w:tc>
          <w:tcPr>
            <w:tcW w:w="936"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3%</w:t>
            </w:r>
          </w:p>
        </w:tc>
        <w:tc>
          <w:tcPr>
            <w:tcW w:w="874"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27%</w:t>
            </w:r>
          </w:p>
        </w:tc>
        <w:tc>
          <w:tcPr>
            <w:tcW w:w="858"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9%</w:t>
            </w:r>
          </w:p>
        </w:tc>
        <w:tc>
          <w:tcPr>
            <w:tcW w:w="686"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20%</w:t>
            </w:r>
          </w:p>
        </w:tc>
        <w:tc>
          <w:tcPr>
            <w:tcW w:w="780"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w:t>
            </w:r>
          </w:p>
        </w:tc>
        <w:tc>
          <w:tcPr>
            <w:tcW w:w="858"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w:t>
            </w:r>
          </w:p>
        </w:tc>
        <w:tc>
          <w:tcPr>
            <w:tcW w:w="905"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w:t>
            </w:r>
          </w:p>
        </w:tc>
        <w:tc>
          <w:tcPr>
            <w:tcW w:w="780"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3%</w:t>
            </w:r>
          </w:p>
        </w:tc>
        <w:tc>
          <w:tcPr>
            <w:tcW w:w="757"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100%</w:t>
            </w:r>
          </w:p>
        </w:tc>
      </w:tr>
      <w:tr w:rsidR="00042617" w:rsidRPr="00D15774" w:rsidTr="003E7EF1">
        <w:trPr>
          <w:trHeight w:hRule="exact" w:val="144"/>
        </w:trPr>
        <w:tc>
          <w:tcPr>
            <w:tcW w:w="874"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p>
        </w:tc>
        <w:tc>
          <w:tcPr>
            <w:tcW w:w="749"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78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82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81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93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874"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85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68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78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85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905"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78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75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r>
      <w:tr w:rsidR="00042617" w:rsidRPr="00D15774" w:rsidTr="003E7EF1">
        <w:trPr>
          <w:trHeight w:val="254"/>
        </w:trPr>
        <w:tc>
          <w:tcPr>
            <w:tcW w:w="874" w:type="dxa"/>
            <w:tcBorders>
              <w:top w:val="single" w:sz="10" w:space="0" w:color="000000"/>
              <w:left w:val="single" w:sz="10" w:space="0" w:color="000000"/>
              <w:bottom w:val="single" w:sz="10" w:space="0" w:color="000000"/>
              <w:right w:val="single" w:sz="10" w:space="0" w:color="000000"/>
            </w:tcBorders>
            <w:shd w:val="clear" w:color="000000" w:fill="FFFFFF"/>
            <w:tcMar>
              <w:top w:w="72" w:type="dxa"/>
              <w:left w:w="0" w:type="dxa"/>
              <w:bottom w:w="72" w:type="dxa"/>
              <w:right w:w="0" w:type="dxa"/>
            </w:tcMar>
            <w:vAlign w:val="center"/>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Total Tribal</w:t>
            </w:r>
          </w:p>
        </w:tc>
        <w:tc>
          <w:tcPr>
            <w:tcW w:w="749" w:type="dxa"/>
            <w:tcBorders>
              <w:top w:val="single" w:sz="10" w:space="0" w:color="000000"/>
              <w:left w:val="single" w:sz="10" w:space="0" w:color="000000"/>
              <w:bottom w:val="single" w:sz="10" w:space="0" w:color="000000"/>
              <w:right w:val="single" w:sz="10" w:space="0" w:color="000000"/>
            </w:tcBorders>
            <w:shd w:val="clear" w:color="000000" w:fill="FFFFFF"/>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578.9</w:t>
            </w:r>
          </w:p>
        </w:tc>
        <w:tc>
          <w:tcPr>
            <w:tcW w:w="780" w:type="dxa"/>
            <w:tcBorders>
              <w:top w:val="single" w:sz="10" w:space="0" w:color="000000"/>
              <w:left w:val="single" w:sz="10" w:space="0" w:color="000000"/>
              <w:bottom w:val="single" w:sz="10" w:space="0" w:color="000000"/>
              <w:right w:val="single" w:sz="10" w:space="0" w:color="000000"/>
            </w:tcBorders>
            <w:shd w:val="clear" w:color="000000" w:fill="FFFFFF"/>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112.6</w:t>
            </w:r>
          </w:p>
        </w:tc>
        <w:tc>
          <w:tcPr>
            <w:tcW w:w="827" w:type="dxa"/>
            <w:tcBorders>
              <w:top w:val="single" w:sz="10" w:space="0" w:color="000000"/>
              <w:left w:val="single" w:sz="10" w:space="0" w:color="000000"/>
              <w:bottom w:val="single" w:sz="10" w:space="0" w:color="000000"/>
              <w:right w:val="single" w:sz="10" w:space="0" w:color="000000"/>
            </w:tcBorders>
            <w:shd w:val="clear" w:color="000000" w:fill="FFFFFF"/>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11594.8</w:t>
            </w:r>
          </w:p>
        </w:tc>
        <w:tc>
          <w:tcPr>
            <w:tcW w:w="811" w:type="dxa"/>
            <w:tcBorders>
              <w:top w:val="single" w:sz="10" w:space="0" w:color="000000"/>
              <w:left w:val="single" w:sz="10" w:space="0" w:color="000000"/>
              <w:bottom w:val="single" w:sz="10" w:space="0" w:color="000000"/>
              <w:right w:val="single" w:sz="10" w:space="0" w:color="000000"/>
            </w:tcBorders>
            <w:shd w:val="clear" w:color="000000" w:fill="FFFFFF"/>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6561.7</w:t>
            </w:r>
          </w:p>
        </w:tc>
        <w:tc>
          <w:tcPr>
            <w:tcW w:w="936" w:type="dxa"/>
            <w:tcBorders>
              <w:top w:val="single" w:sz="10" w:space="0" w:color="000000"/>
              <w:left w:val="single" w:sz="10" w:space="0" w:color="000000"/>
              <w:bottom w:val="single" w:sz="10" w:space="0" w:color="000000"/>
              <w:right w:val="single" w:sz="10" w:space="0" w:color="000000"/>
            </w:tcBorders>
            <w:shd w:val="clear" w:color="000000" w:fill="FFFFFF"/>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1485.9</w:t>
            </w:r>
          </w:p>
        </w:tc>
        <w:tc>
          <w:tcPr>
            <w:tcW w:w="874" w:type="dxa"/>
            <w:tcBorders>
              <w:top w:val="single" w:sz="10" w:space="0" w:color="000000"/>
              <w:left w:val="single" w:sz="10" w:space="0" w:color="000000"/>
              <w:bottom w:val="single" w:sz="10" w:space="0" w:color="000000"/>
              <w:right w:val="single" w:sz="10" w:space="0" w:color="000000"/>
            </w:tcBorders>
            <w:shd w:val="clear" w:color="000000" w:fill="FFFFFF"/>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16563.6</w:t>
            </w:r>
          </w:p>
        </w:tc>
        <w:tc>
          <w:tcPr>
            <w:tcW w:w="858" w:type="dxa"/>
            <w:tcBorders>
              <w:top w:val="single" w:sz="10" w:space="0" w:color="000000"/>
              <w:left w:val="single" w:sz="10" w:space="0" w:color="000000"/>
              <w:bottom w:val="single" w:sz="10" w:space="0" w:color="000000"/>
              <w:right w:val="single" w:sz="10" w:space="0" w:color="000000"/>
            </w:tcBorders>
            <w:shd w:val="clear" w:color="000000" w:fill="FFFFFF"/>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5494.2</w:t>
            </w:r>
          </w:p>
        </w:tc>
        <w:tc>
          <w:tcPr>
            <w:tcW w:w="686" w:type="dxa"/>
            <w:tcBorders>
              <w:top w:val="single" w:sz="10" w:space="0" w:color="000000"/>
              <w:left w:val="single" w:sz="10" w:space="0" w:color="000000"/>
              <w:bottom w:val="single" w:sz="10" w:space="0" w:color="000000"/>
              <w:right w:val="single" w:sz="10" w:space="0" w:color="000000"/>
            </w:tcBorders>
            <w:shd w:val="clear" w:color="000000" w:fill="FFFFFF"/>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8622.4</w:t>
            </w:r>
          </w:p>
        </w:tc>
        <w:tc>
          <w:tcPr>
            <w:tcW w:w="780" w:type="dxa"/>
            <w:tcBorders>
              <w:top w:val="single" w:sz="10" w:space="0" w:color="000000"/>
              <w:left w:val="single" w:sz="10" w:space="0" w:color="000000"/>
              <w:bottom w:val="single" w:sz="10" w:space="0" w:color="000000"/>
              <w:right w:val="single" w:sz="10" w:space="0" w:color="000000"/>
            </w:tcBorders>
            <w:shd w:val="clear" w:color="000000" w:fill="FFFFFF"/>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1320.4</w:t>
            </w:r>
          </w:p>
        </w:tc>
        <w:tc>
          <w:tcPr>
            <w:tcW w:w="858" w:type="dxa"/>
            <w:tcBorders>
              <w:top w:val="single" w:sz="10" w:space="0" w:color="000000"/>
              <w:left w:val="single" w:sz="10" w:space="0" w:color="000000"/>
              <w:bottom w:val="single" w:sz="10" w:space="0" w:color="000000"/>
              <w:right w:val="single" w:sz="10" w:space="0" w:color="000000"/>
            </w:tcBorders>
            <w:shd w:val="clear" w:color="000000" w:fill="FFFFFF"/>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703.7</w:t>
            </w:r>
          </w:p>
        </w:tc>
        <w:tc>
          <w:tcPr>
            <w:tcW w:w="905" w:type="dxa"/>
            <w:tcBorders>
              <w:top w:val="single" w:sz="10" w:space="0" w:color="000000"/>
              <w:left w:val="single" w:sz="10" w:space="0" w:color="000000"/>
              <w:bottom w:val="single" w:sz="10" w:space="0" w:color="000000"/>
              <w:right w:val="single" w:sz="10" w:space="0" w:color="000000"/>
            </w:tcBorders>
            <w:shd w:val="clear" w:color="000000" w:fill="FFFFFF"/>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667.0</w:t>
            </w:r>
          </w:p>
        </w:tc>
        <w:tc>
          <w:tcPr>
            <w:tcW w:w="780" w:type="dxa"/>
            <w:tcBorders>
              <w:top w:val="single" w:sz="10" w:space="0" w:color="000000"/>
              <w:left w:val="single" w:sz="10" w:space="0" w:color="000000"/>
              <w:bottom w:val="single" w:sz="10" w:space="0" w:color="000000"/>
              <w:right w:val="single" w:sz="10" w:space="0" w:color="000000"/>
            </w:tcBorders>
            <w:shd w:val="clear" w:color="000000" w:fill="FFFFFF"/>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1664.6</w:t>
            </w:r>
          </w:p>
        </w:tc>
        <w:tc>
          <w:tcPr>
            <w:tcW w:w="757" w:type="dxa"/>
            <w:tcBorders>
              <w:top w:val="single" w:sz="10" w:space="0" w:color="000000"/>
              <w:left w:val="single" w:sz="10" w:space="0" w:color="000000"/>
              <w:bottom w:val="single" w:sz="10" w:space="0" w:color="000000"/>
              <w:right w:val="single" w:sz="10" w:space="0" w:color="000000"/>
            </w:tcBorders>
            <w:shd w:val="clear" w:color="000000" w:fill="FFFFFF"/>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55369.8</w:t>
            </w:r>
          </w:p>
        </w:tc>
      </w:tr>
      <w:tr w:rsidR="00042617" w:rsidRPr="00D15774" w:rsidTr="003E7EF1">
        <w:trPr>
          <w:trHeight w:val="254"/>
        </w:trPr>
        <w:tc>
          <w:tcPr>
            <w:tcW w:w="874" w:type="dxa"/>
            <w:tcBorders>
              <w:top w:val="single" w:sz="10" w:space="0" w:color="000000"/>
              <w:left w:val="single" w:sz="10" w:space="0" w:color="000000"/>
              <w:bottom w:val="single" w:sz="10" w:space="0" w:color="000000"/>
              <w:right w:val="single" w:sz="10" w:space="0" w:color="000000"/>
            </w:tcBorders>
            <w:shd w:val="clear" w:color="000000" w:fill="FFFFFF"/>
            <w:tcMar>
              <w:left w:w="0" w:type="dxa"/>
              <w:bottom w:w="72" w:type="dxa"/>
              <w:right w:w="0" w:type="dxa"/>
            </w:tcMar>
            <w:vAlign w:val="center"/>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Total Nontribal</w:t>
            </w:r>
          </w:p>
        </w:tc>
        <w:tc>
          <w:tcPr>
            <w:tcW w:w="749" w:type="dxa"/>
            <w:tcBorders>
              <w:top w:val="single" w:sz="10" w:space="0" w:color="000000"/>
              <w:left w:val="single" w:sz="10" w:space="0" w:color="000000"/>
              <w:bottom w:val="single" w:sz="10" w:space="0" w:color="000000"/>
              <w:right w:val="single" w:sz="10" w:space="0" w:color="000000"/>
            </w:tcBorders>
            <w:shd w:val="clear" w:color="000000" w:fill="FFFFFF"/>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385.0</w:t>
            </w:r>
          </w:p>
        </w:tc>
        <w:tc>
          <w:tcPr>
            <w:tcW w:w="780" w:type="dxa"/>
            <w:tcBorders>
              <w:top w:val="single" w:sz="10" w:space="0" w:color="000000"/>
              <w:left w:val="single" w:sz="10" w:space="0" w:color="000000"/>
              <w:bottom w:val="single" w:sz="10" w:space="0" w:color="000000"/>
              <w:right w:val="single" w:sz="10" w:space="0" w:color="000000"/>
            </w:tcBorders>
            <w:shd w:val="clear" w:color="000000" w:fill="FFFFFF"/>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14.4</w:t>
            </w:r>
          </w:p>
        </w:tc>
        <w:tc>
          <w:tcPr>
            <w:tcW w:w="827" w:type="dxa"/>
            <w:tcBorders>
              <w:top w:val="single" w:sz="10" w:space="0" w:color="000000"/>
              <w:left w:val="single" w:sz="10" w:space="0" w:color="000000"/>
              <w:bottom w:val="single" w:sz="10" w:space="0" w:color="000000"/>
              <w:right w:val="single" w:sz="10" w:space="0" w:color="000000"/>
            </w:tcBorders>
            <w:shd w:val="clear" w:color="000000" w:fill="FFFFFF"/>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3320.8</w:t>
            </w:r>
          </w:p>
        </w:tc>
        <w:tc>
          <w:tcPr>
            <w:tcW w:w="811" w:type="dxa"/>
            <w:tcBorders>
              <w:top w:val="single" w:sz="10" w:space="0" w:color="000000"/>
              <w:left w:val="single" w:sz="10" w:space="0" w:color="000000"/>
              <w:bottom w:val="single" w:sz="10" w:space="0" w:color="000000"/>
              <w:right w:val="single" w:sz="10" w:space="0" w:color="000000"/>
            </w:tcBorders>
            <w:shd w:val="clear" w:color="000000" w:fill="FFFFFF"/>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1824.0</w:t>
            </w:r>
          </w:p>
        </w:tc>
        <w:tc>
          <w:tcPr>
            <w:tcW w:w="936" w:type="dxa"/>
            <w:tcBorders>
              <w:top w:val="single" w:sz="10" w:space="0" w:color="000000"/>
              <w:left w:val="single" w:sz="10" w:space="0" w:color="000000"/>
              <w:bottom w:val="single" w:sz="10" w:space="0" w:color="000000"/>
              <w:right w:val="single" w:sz="10" w:space="0" w:color="000000"/>
            </w:tcBorders>
            <w:shd w:val="clear" w:color="000000" w:fill="FFFFFF"/>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423.7</w:t>
            </w:r>
          </w:p>
        </w:tc>
        <w:tc>
          <w:tcPr>
            <w:tcW w:w="874" w:type="dxa"/>
            <w:tcBorders>
              <w:top w:val="single" w:sz="10" w:space="0" w:color="000000"/>
              <w:left w:val="single" w:sz="10" w:space="0" w:color="000000"/>
              <w:bottom w:val="single" w:sz="10" w:space="0" w:color="000000"/>
              <w:right w:val="single" w:sz="10" w:space="0" w:color="000000"/>
            </w:tcBorders>
            <w:shd w:val="clear" w:color="000000" w:fill="FFFFFF"/>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2906.9</w:t>
            </w:r>
          </w:p>
        </w:tc>
        <w:tc>
          <w:tcPr>
            <w:tcW w:w="858" w:type="dxa"/>
            <w:tcBorders>
              <w:top w:val="single" w:sz="10" w:space="0" w:color="000000"/>
              <w:left w:val="single" w:sz="10" w:space="0" w:color="000000"/>
              <w:bottom w:val="single" w:sz="10" w:space="0" w:color="000000"/>
              <w:right w:val="single" w:sz="10" w:space="0" w:color="000000"/>
            </w:tcBorders>
            <w:shd w:val="clear" w:color="000000" w:fill="FFFFFF"/>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700.4</w:t>
            </w:r>
          </w:p>
        </w:tc>
        <w:tc>
          <w:tcPr>
            <w:tcW w:w="686" w:type="dxa"/>
            <w:tcBorders>
              <w:top w:val="single" w:sz="10" w:space="0" w:color="000000"/>
              <w:left w:val="single" w:sz="10" w:space="0" w:color="000000"/>
              <w:bottom w:val="single" w:sz="10" w:space="0" w:color="000000"/>
              <w:right w:val="single" w:sz="10" w:space="0" w:color="000000"/>
            </w:tcBorders>
            <w:shd w:val="clear" w:color="000000" w:fill="FFFFFF"/>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5734.2</w:t>
            </w:r>
          </w:p>
        </w:tc>
        <w:tc>
          <w:tcPr>
            <w:tcW w:w="780" w:type="dxa"/>
            <w:tcBorders>
              <w:top w:val="single" w:sz="10" w:space="0" w:color="000000"/>
              <w:left w:val="single" w:sz="10" w:space="0" w:color="000000"/>
              <w:bottom w:val="single" w:sz="10" w:space="0" w:color="000000"/>
              <w:right w:val="single" w:sz="10" w:space="0" w:color="000000"/>
            </w:tcBorders>
            <w:shd w:val="clear" w:color="000000" w:fill="FFFFFF"/>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0.0</w:t>
            </w:r>
          </w:p>
        </w:tc>
        <w:tc>
          <w:tcPr>
            <w:tcW w:w="858" w:type="dxa"/>
            <w:tcBorders>
              <w:top w:val="single" w:sz="10" w:space="0" w:color="000000"/>
              <w:left w:val="single" w:sz="10" w:space="0" w:color="000000"/>
              <w:bottom w:val="single" w:sz="10" w:space="0" w:color="000000"/>
              <w:right w:val="single" w:sz="10" w:space="0" w:color="000000"/>
            </w:tcBorders>
            <w:shd w:val="clear" w:color="000000" w:fill="FFFFFF"/>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121.7</w:t>
            </w:r>
          </w:p>
        </w:tc>
        <w:tc>
          <w:tcPr>
            <w:tcW w:w="905" w:type="dxa"/>
            <w:tcBorders>
              <w:top w:val="single" w:sz="10" w:space="0" w:color="000000"/>
              <w:left w:val="single" w:sz="10" w:space="0" w:color="000000"/>
              <w:bottom w:val="single" w:sz="10" w:space="0" w:color="000000"/>
              <w:right w:val="single" w:sz="10" w:space="0" w:color="000000"/>
            </w:tcBorders>
            <w:shd w:val="clear" w:color="000000" w:fill="FFFFFF"/>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115.3</w:t>
            </w:r>
          </w:p>
        </w:tc>
        <w:tc>
          <w:tcPr>
            <w:tcW w:w="780" w:type="dxa"/>
            <w:tcBorders>
              <w:top w:val="single" w:sz="10" w:space="0" w:color="000000"/>
              <w:left w:val="single" w:sz="10" w:space="0" w:color="000000"/>
              <w:bottom w:val="single" w:sz="10" w:space="0" w:color="000000"/>
              <w:right w:val="single" w:sz="10" w:space="0" w:color="000000"/>
            </w:tcBorders>
            <w:shd w:val="clear" w:color="000000" w:fill="FFFFFF"/>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629.5</w:t>
            </w:r>
          </w:p>
        </w:tc>
        <w:tc>
          <w:tcPr>
            <w:tcW w:w="757" w:type="dxa"/>
            <w:tcBorders>
              <w:top w:val="single" w:sz="10" w:space="0" w:color="000000"/>
              <w:left w:val="single" w:sz="10" w:space="0" w:color="000000"/>
              <w:bottom w:val="single" w:sz="10" w:space="0" w:color="000000"/>
              <w:right w:val="single" w:sz="10" w:space="0" w:color="000000"/>
            </w:tcBorders>
            <w:shd w:val="clear" w:color="000000" w:fill="FFFFFF"/>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16176.0</w:t>
            </w:r>
          </w:p>
        </w:tc>
      </w:tr>
    </w:tbl>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In the Uinta Basin pneumatic devices (21%) and pneumatic pumps (12%) comprise the largest source</w:t>
      </w:r>
      <w:r w:rsidR="00B25294" w:rsidRPr="00D15774">
        <w:t>s</w:t>
      </w:r>
      <w:r w:rsidRPr="00D15774">
        <w:t xml:space="preserve"> of VOC emissions with 33% of the total, followed by </w:t>
      </w:r>
      <w:r w:rsidR="002B58F3" w:rsidRPr="00D15774">
        <w:t>tanks with a combined 29% of the total (</w:t>
      </w:r>
      <w:r w:rsidRPr="00D15774">
        <w:t>oil</w:t>
      </w:r>
      <w:r w:rsidR="002B58F3" w:rsidRPr="00D15774">
        <w:t>-20% &amp; condensate-</w:t>
      </w:r>
      <w:r w:rsidRPr="00D15774">
        <w:t>9%), and glycol dehydrators with another 27% of the basin VOC</w:t>
      </w:r>
    </w:p>
    <w:p w:rsidR="002B58F3" w:rsidRPr="00D15774" w:rsidRDefault="002B58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As noted before, the new regulations of NSPS Subpart OOOO will address </w:t>
      </w:r>
      <w:r w:rsidR="002B58F3" w:rsidRPr="00D15774">
        <w:t>VOC emissions from pneumatic devices by allowing no emissions from devices located at gas processing plants, while devices at other sites would be required to use low bleed devices limited to 6 ft</w:t>
      </w:r>
      <w:r w:rsidR="002B58F3" w:rsidRPr="00D15774">
        <w:rPr>
          <w:vertAlign w:val="superscript"/>
        </w:rPr>
        <w:t>3</w:t>
      </w:r>
      <w:r w:rsidR="002B58F3" w:rsidRPr="00D15774">
        <w:t>/day of VOC emissions</w:t>
      </w:r>
      <w:r w:rsidRPr="00D15774">
        <w:t xml:space="preserve">.  The State of Utah has no regulations on pneumatic devices, so Subpart OOOO would likely reduce VOC emissions in future </w:t>
      </w:r>
      <w:r w:rsidR="008972B6" w:rsidRPr="00D15774">
        <w:t xml:space="preserve">Uinta Basin </w:t>
      </w:r>
      <w:r w:rsidRPr="00D15774">
        <w:t>inventories from this source category.</w:t>
      </w: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8972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The </w:t>
      </w:r>
      <w:r w:rsidRPr="00D15774">
        <w:rPr>
          <w:rStyle w:val="FigureChar"/>
          <w:rFonts w:ascii="Times New Roman" w:hAnsi="Times New Roman"/>
          <w:b w:val="0"/>
          <w:sz w:val="24"/>
        </w:rPr>
        <w:t>Subpart OOOO regulation require</w:t>
      </w:r>
      <w:r w:rsidR="00493D39" w:rsidRPr="00D15774">
        <w:rPr>
          <w:rStyle w:val="FigureChar"/>
          <w:rFonts w:ascii="Times New Roman" w:hAnsi="Times New Roman"/>
          <w:b w:val="0"/>
          <w:sz w:val="24"/>
        </w:rPr>
        <w:t>s</w:t>
      </w:r>
      <w:r w:rsidRPr="00D15774">
        <w:rPr>
          <w:rStyle w:val="FigureChar"/>
          <w:rFonts w:ascii="Times New Roman" w:hAnsi="Times New Roman"/>
          <w:b w:val="0"/>
          <w:sz w:val="24"/>
        </w:rPr>
        <w:t xml:space="preserve"> condensate tanks </w:t>
      </w:r>
      <w:r w:rsidRPr="00D15774">
        <w:t>constructed or modified after August 23, 2011, with 6 tpy of VOC of uncontrolled emissions</w:t>
      </w:r>
      <w:r w:rsidRPr="00D15774">
        <w:rPr>
          <w:rStyle w:val="FigureChar"/>
          <w:rFonts w:ascii="Times New Roman" w:hAnsi="Times New Roman"/>
          <w:b w:val="0"/>
          <w:sz w:val="24"/>
        </w:rPr>
        <w:t xml:space="preserve"> to reduce VOC by 95%.</w:t>
      </w:r>
      <w:r w:rsidRPr="00D15774">
        <w:t xml:space="preserve">  </w:t>
      </w:r>
      <w:r w:rsidR="00042617" w:rsidRPr="00D15774">
        <w:t xml:space="preserve">The State of Utah has an existing regulations for hydrocarbon storage tanks in ozone nonattainment areas (R307-327) which requires large tanks (&gt; 40,000 gallons) with high vapor pressure (TVP &gt; 1.52 psia at storage temperature) to be controlled to minimize vapor loss (new tanks shall be fitted with an internal floating roof resting on the liquid surface), but the only areas that regulation applies to are Salt Lake </w:t>
      </w:r>
      <w:r w:rsidR="00BB019B" w:rsidRPr="00D15774">
        <w:t>and</w:t>
      </w:r>
      <w:r w:rsidR="00042617" w:rsidRPr="00D15774">
        <w:t xml:space="preserve"> Davis Counties.  Since the Uinta Basin is located </w:t>
      </w:r>
      <w:r w:rsidR="004405C4" w:rsidRPr="00D15774">
        <w:t xml:space="preserve">in </w:t>
      </w:r>
      <w:r w:rsidR="00BB019B" w:rsidRPr="00D15774">
        <w:t xml:space="preserve">northeast Utah and does not </w:t>
      </w:r>
      <w:r w:rsidR="00042617" w:rsidRPr="00D15774">
        <w:t>includ</w:t>
      </w:r>
      <w:r w:rsidR="00BB019B" w:rsidRPr="00D15774">
        <w:t>e</w:t>
      </w:r>
      <w:r w:rsidR="00042617" w:rsidRPr="00D15774">
        <w:t xml:space="preserve"> these two nonattainment counties, the regulation does</w:t>
      </w:r>
      <w:r w:rsidR="00BB019B" w:rsidRPr="00D15774">
        <w:t xml:space="preserve"> </w:t>
      </w:r>
      <w:r w:rsidR="00042617" w:rsidRPr="00D15774">
        <w:t>n</w:t>
      </w:r>
      <w:r w:rsidR="00BB019B" w:rsidRPr="00D15774">
        <w:t>o</w:t>
      </w:r>
      <w:r w:rsidR="00042617" w:rsidRPr="00D15774">
        <w:t>t apply to the Uinta O&amp;G operations</w:t>
      </w:r>
      <w:r w:rsidR="00BB019B" w:rsidRPr="00D15774">
        <w:t>.  T</w:t>
      </w:r>
      <w:r w:rsidR="00042617" w:rsidRPr="00D15774">
        <w:t>h</w:t>
      </w:r>
      <w:r w:rsidR="00CB0D1F" w:rsidRPr="00D15774">
        <w:t>us the</w:t>
      </w:r>
      <w:r w:rsidR="00042617" w:rsidRPr="00D15774">
        <w:t xml:space="preserve"> new </w:t>
      </w:r>
      <w:r w:rsidR="00956808" w:rsidRPr="00D15774">
        <w:t>federal</w:t>
      </w:r>
      <w:r w:rsidR="00042617" w:rsidRPr="00D15774">
        <w:t xml:space="preserve"> regulation would likely reduce VOC emissions </w:t>
      </w:r>
      <w:r w:rsidR="002B58F3" w:rsidRPr="00D15774">
        <w:t xml:space="preserve">from tanks in </w:t>
      </w:r>
      <w:r w:rsidR="00042617" w:rsidRPr="00D15774">
        <w:t>futu</w:t>
      </w:r>
      <w:r w:rsidR="00CB0D1F" w:rsidRPr="00D15774">
        <w:t xml:space="preserve">re </w:t>
      </w:r>
      <w:r w:rsidR="002B58F3" w:rsidRPr="00D15774">
        <w:t xml:space="preserve">Uinta Basin </w:t>
      </w:r>
      <w:r w:rsidR="00CB0D1F" w:rsidRPr="00D15774">
        <w:t>inventories</w:t>
      </w:r>
      <w:r w:rsidR="00042617" w:rsidRPr="00D15774">
        <w:t>.</w:t>
      </w: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0159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Regarding glycol dehydrators, EPA previously proposed to remove the 1 ton per year benzene compliance option for large glycol dehydrators, but with the revised risk analysis, the final rule retained this 1 TPY option for large dehydrators.  If annual benzene emissions don’t meet the 1 TPY threshold, under Subpart OOOO the large dehydrators would have to reduce air toxics emissions by 95 percent.  </w:t>
      </w:r>
      <w:r w:rsidR="00042617" w:rsidRPr="00D15774">
        <w:t xml:space="preserve">As </w:t>
      </w:r>
      <w:r w:rsidR="002B58F3" w:rsidRPr="00D15774">
        <w:t xml:space="preserve">is the case </w:t>
      </w:r>
      <w:r w:rsidR="00042617" w:rsidRPr="00D15774">
        <w:t>with other VOC sources, the State of Utah doesn’t have reg</w:t>
      </w:r>
      <w:r w:rsidR="00381C28" w:rsidRPr="00D15774">
        <w:t>ulations on dehydrators, so the</w:t>
      </w:r>
      <w:r w:rsidR="00042617" w:rsidRPr="00D15774">
        <w:t xml:space="preserve"> new </w:t>
      </w:r>
      <w:r w:rsidR="00956808" w:rsidRPr="00D15774">
        <w:t>federal</w:t>
      </w:r>
      <w:r w:rsidR="00042617" w:rsidRPr="00D15774">
        <w:t xml:space="preserve"> </w:t>
      </w:r>
      <w:r w:rsidR="003558CF" w:rsidRPr="00D15774">
        <w:t>NSPS</w:t>
      </w:r>
      <w:r w:rsidR="00042617" w:rsidRPr="00D15774">
        <w:t xml:space="preserve"> would likely reduce VOC emissions </w:t>
      </w:r>
      <w:r w:rsidR="002B58F3" w:rsidRPr="00D15774">
        <w:t xml:space="preserve">from dehydrators </w:t>
      </w:r>
      <w:r w:rsidR="00042617" w:rsidRPr="00D15774">
        <w:t xml:space="preserve">in future </w:t>
      </w:r>
      <w:r w:rsidR="002B40E0" w:rsidRPr="00D15774">
        <w:t xml:space="preserve">Uinta Basin </w:t>
      </w:r>
      <w:r w:rsidR="00042617" w:rsidRPr="00D15774">
        <w:t>inventories</w:t>
      </w:r>
      <w:r w:rsidR="002B40E0" w:rsidRPr="00D15774">
        <w:t>.</w:t>
      </w:r>
      <w:r w:rsidR="00042617" w:rsidRPr="00D15774">
        <w:t xml:space="preserve"> </w:t>
      </w: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A</w:t>
      </w:r>
      <w:r w:rsidR="002B40E0" w:rsidRPr="00D15774">
        <w:t>s with NOx</w:t>
      </w:r>
      <w:r w:rsidRPr="00D15774">
        <w:t>, a large portion of VOC emissions in the Uinta</w:t>
      </w:r>
      <w:r w:rsidR="00BB019B" w:rsidRPr="00D15774">
        <w:t xml:space="preserve"> Basin</w:t>
      </w:r>
      <w:r w:rsidRPr="00D15774">
        <w:t xml:space="preserve"> come from Indian Lands, therefore the new requir</w:t>
      </w:r>
      <w:r w:rsidR="006E24A5" w:rsidRPr="00D15774">
        <w:t>ements for “Permitting of Minor S</w:t>
      </w:r>
      <w:r w:rsidRPr="00D15774">
        <w:t>ources on Indian Lands</w:t>
      </w:r>
      <w:r w:rsidR="006E24A5" w:rsidRPr="00D15774">
        <w:t>”</w:t>
      </w:r>
      <w:r w:rsidRPr="00D15774">
        <w:t xml:space="preserve"> will likely </w:t>
      </w:r>
      <w:r w:rsidRPr="00D15774">
        <w:lastRenderedPageBreak/>
        <w:t xml:space="preserve">have </w:t>
      </w:r>
      <w:r w:rsidR="0003161E" w:rsidRPr="00D15774">
        <w:t>an</w:t>
      </w:r>
      <w:r w:rsidRPr="00D15774">
        <w:t xml:space="preserve"> effect </w:t>
      </w:r>
      <w:r w:rsidR="0003161E" w:rsidRPr="00D15774">
        <w:t>on</w:t>
      </w:r>
      <w:r w:rsidRPr="00D15774">
        <w:t xml:space="preserve"> emission totals in this area in the future.  </w:t>
      </w:r>
      <w:r w:rsidR="00CB0D1F" w:rsidRPr="00D15774">
        <w:t xml:space="preserve">Although newly constructed sources like field compressors, artificial lift engines and heaters will have lower emissions than previously projected due to the federal </w:t>
      </w:r>
      <w:r w:rsidR="006E24A5" w:rsidRPr="00D15774">
        <w:t xml:space="preserve">permitting </w:t>
      </w:r>
      <w:r w:rsidR="00CB0D1F" w:rsidRPr="00D15774">
        <w:t>re</w:t>
      </w:r>
      <w:r w:rsidR="00C0085C" w:rsidRPr="00D15774">
        <w:t>view</w:t>
      </w:r>
      <w:r w:rsidR="00CB0D1F" w:rsidRPr="00D15774">
        <w:t xml:space="preserve">, there will </w:t>
      </w:r>
      <w:r w:rsidR="00C0085C" w:rsidRPr="00D15774">
        <w:t xml:space="preserve">also </w:t>
      </w:r>
      <w:r w:rsidR="00CB0D1F" w:rsidRPr="00D15774">
        <w:t>likely be a number of existing sources that were never reported in the past.  These newly captured sources will now be included in emission inventories due to federal reporting requirements.  Thus we may</w:t>
      </w:r>
      <w:r w:rsidR="005631F1" w:rsidRPr="00D15774">
        <w:t xml:space="preserve"> actually </w:t>
      </w:r>
      <w:r w:rsidR="00CB0D1F" w:rsidRPr="00D15774">
        <w:t xml:space="preserve">see some increased </w:t>
      </w:r>
      <w:r w:rsidR="0003161E" w:rsidRPr="00D15774">
        <w:t xml:space="preserve">VOC </w:t>
      </w:r>
      <w:r w:rsidR="00CB0D1F" w:rsidRPr="00D15774">
        <w:t xml:space="preserve">emissions </w:t>
      </w:r>
      <w:r w:rsidRPr="00D15774">
        <w:t xml:space="preserve">show up on </w:t>
      </w:r>
      <w:r w:rsidR="00765567" w:rsidRPr="00D15774">
        <w:t>Tribal Lands</w:t>
      </w:r>
      <w:r w:rsidRPr="00D15774">
        <w:t xml:space="preserve"> </w:t>
      </w:r>
      <w:r w:rsidR="000159B6" w:rsidRPr="00D15774">
        <w:t xml:space="preserve">in the Uinta basin </w:t>
      </w:r>
      <w:r w:rsidRPr="00D15774">
        <w:t>in future emission inventories</w:t>
      </w:r>
      <w:r w:rsidR="003104F0" w:rsidRPr="00D15774">
        <w:t xml:space="preserve"> due to this permitting regulation.</w:t>
      </w:r>
    </w:p>
    <w:p w:rsidR="00042617" w:rsidRPr="00D15774" w:rsidRDefault="00042617" w:rsidP="00E1181C">
      <w:pPr>
        <w:pStyle w:val="Heading3"/>
        <w:rPr>
          <w:rFonts w:ascii="Times New Roman" w:hAnsi="Times New Roman" w:cs="Times New Roman"/>
        </w:rPr>
      </w:pPr>
      <w:r w:rsidRPr="00D15774">
        <w:rPr>
          <w:rFonts w:ascii="Times New Roman" w:hAnsi="Times New Roman" w:cs="Times New Roman"/>
        </w:rPr>
        <w:br w:type="page"/>
      </w:r>
      <w:bookmarkStart w:id="85" w:name="_Toc369087022"/>
      <w:r w:rsidRPr="00E47241">
        <w:rPr>
          <w:rFonts w:ascii="Times New Roman" w:hAnsi="Times New Roman" w:cs="Times New Roman"/>
          <w:color w:val="auto"/>
        </w:rPr>
        <w:lastRenderedPageBreak/>
        <w:t>Piceance Basin 2006 Emissions</w:t>
      </w:r>
      <w:bookmarkEnd w:id="85"/>
      <w:r w:rsidR="00E21C92" w:rsidRPr="00D15774">
        <w:rPr>
          <w:rFonts w:ascii="Times New Roman" w:hAnsi="Times New Roman" w:cs="Times New Roman"/>
        </w:rPr>
        <w:fldChar w:fldCharType="begin"/>
      </w:r>
      <w:r w:rsidRPr="00D15774">
        <w:rPr>
          <w:rFonts w:ascii="Times New Roman" w:hAnsi="Times New Roman" w:cs="Times New Roman"/>
        </w:rPr>
        <w:instrText xml:space="preserve"> TC \l3 "</w:instrText>
      </w:r>
      <w:bookmarkStart w:id="86" w:name="_Toc363192345"/>
      <w:r w:rsidRPr="00D15774">
        <w:rPr>
          <w:rFonts w:ascii="Times New Roman" w:hAnsi="Times New Roman" w:cs="Times New Roman"/>
        </w:rPr>
        <w:instrText>Piceance Basin 2006 Emissions</w:instrText>
      </w:r>
      <w:bookmarkEnd w:id="86"/>
      <w:r w:rsidR="00E21C92" w:rsidRPr="00D15774">
        <w:rPr>
          <w:rFonts w:ascii="Times New Roman" w:hAnsi="Times New Roman" w:cs="Times New Roman"/>
        </w:rPr>
        <w:fldChar w:fldCharType="end"/>
      </w:r>
    </w:p>
    <w:p w:rsidR="00F421CF" w:rsidRPr="008A07D5" w:rsidRDefault="00042617" w:rsidP="008A07D5">
      <w:pPr>
        <w:pStyle w:val="Heading4"/>
        <w:jc w:val="center"/>
        <w:rPr>
          <w:rFonts w:ascii="Times New Roman" w:hAnsi="Times New Roman" w:cs="Times New Roman"/>
          <w:i w:val="0"/>
          <w:color w:val="auto"/>
        </w:rPr>
      </w:pPr>
      <w:bookmarkStart w:id="87" w:name="_Toc369087023"/>
      <w:r w:rsidRPr="008A07D5">
        <w:rPr>
          <w:rFonts w:ascii="Times New Roman" w:hAnsi="Times New Roman" w:cs="Times New Roman"/>
          <w:i w:val="0"/>
          <w:color w:val="auto"/>
        </w:rPr>
        <w:t>Figure 4: Piceance Basin Boundaries Overlaid With 2006 Oil and Gas Well Locations</w:t>
      </w:r>
      <w:bookmarkEnd w:id="87"/>
      <w:r w:rsidR="00F421CF" w:rsidRPr="008A07D5">
        <w:rPr>
          <w:rFonts w:ascii="Times New Roman" w:hAnsi="Times New Roman" w:cs="Times New Roman"/>
          <w:i w:val="0"/>
          <w:color w:val="auto"/>
        </w:rPr>
        <w:fldChar w:fldCharType="begin"/>
      </w:r>
      <w:r w:rsidR="00F421CF" w:rsidRPr="008A07D5">
        <w:rPr>
          <w:rFonts w:ascii="Times New Roman" w:hAnsi="Times New Roman" w:cs="Times New Roman"/>
          <w:i w:val="0"/>
          <w:color w:val="auto"/>
        </w:rPr>
        <w:instrText xml:space="preserve"> TC \l4 "</w:instrText>
      </w:r>
      <w:bookmarkStart w:id="88" w:name="_Toc363192346"/>
      <w:r w:rsidR="00F421CF" w:rsidRPr="008A07D5">
        <w:rPr>
          <w:rFonts w:ascii="Times New Roman" w:hAnsi="Times New Roman" w:cs="Times New Roman"/>
          <w:i w:val="0"/>
          <w:color w:val="auto"/>
        </w:rPr>
        <w:instrText>Figure 4: Piceance Basin Boundaries Overlaid With 2006 Oil and Gas Well Locations</w:instrText>
      </w:r>
      <w:bookmarkEnd w:id="88"/>
      <w:r w:rsidR="00F421CF" w:rsidRPr="008A07D5">
        <w:rPr>
          <w:rFonts w:ascii="Times New Roman" w:hAnsi="Times New Roman" w:cs="Times New Roman"/>
          <w:i w:val="0"/>
          <w:color w:val="auto"/>
        </w:rPr>
        <w:fldChar w:fldCharType="end"/>
      </w:r>
    </w:p>
    <w:p w:rsidR="00C16888" w:rsidRPr="00D15774" w:rsidRDefault="00C16888">
      <w:pPr>
        <w:tabs>
          <w:tab w:val="center" w:pos="4680"/>
        </w:tabs>
        <w:spacing w:line="300" w:lineRule="auto"/>
        <w:rPr>
          <w:u w:val="single"/>
        </w:rPr>
      </w:pPr>
    </w:p>
    <w:p w:rsidR="00042617" w:rsidRPr="00D15774" w:rsidRDefault="00C16888">
      <w:pPr>
        <w:tabs>
          <w:tab w:val="center" w:pos="4680"/>
        </w:tabs>
        <w:spacing w:line="300" w:lineRule="auto"/>
      </w:pPr>
      <w:r w:rsidRPr="00D15774">
        <w:rPr>
          <w:noProof/>
        </w:rPr>
        <w:drawing>
          <wp:inline distT="0" distB="0" distL="0" distR="0" wp14:anchorId="4B29C742" wp14:editId="1CCE1D80">
            <wp:extent cx="6667500" cy="7486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6667500" cy="7486650"/>
                    </a:xfrm>
                    <a:prstGeom prst="rect">
                      <a:avLst/>
                    </a:prstGeom>
                    <a:noFill/>
                    <a:ln w="9525">
                      <a:noFill/>
                      <a:miter lim="800000"/>
                      <a:headEnd/>
                      <a:tailEnd/>
                    </a:ln>
                  </pic:spPr>
                </pic:pic>
              </a:graphicData>
            </a:graphic>
          </wp:inline>
        </w:drawing>
      </w: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A04C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Table </w:t>
      </w:r>
      <w:r w:rsidR="00416BE9" w:rsidRPr="00D15774">
        <w:t>9</w:t>
      </w:r>
      <w:r w:rsidR="00042617" w:rsidRPr="00D15774">
        <w:t xml:space="preserve"> contains a listing of the Piceance Basin NOx emissions from the </w:t>
      </w:r>
      <w:r w:rsidR="0099797E" w:rsidRPr="00D15774">
        <w:t>ENVIRON</w:t>
      </w:r>
      <w:r w:rsidR="00042617" w:rsidRPr="00D15774">
        <w:t>’s January 20, 2009 Technical Memo, “DEVELOPMENT OF BASELINE 2006 EMISSIONS FROM OIL AND GAS ACTIVITY IN THE PICEANCE BASIN” located at:</w:t>
      </w: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645938" w:rsidP="00E13370">
      <w:pPr>
        <w:tabs>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left="-630" w:right="-450"/>
        <w:jc w:val="center"/>
        <w:rPr>
          <w:szCs w:val="24"/>
        </w:rPr>
      </w:pPr>
      <w:hyperlink r:id="rId41" w:history="1">
        <w:r w:rsidR="007E2062" w:rsidRPr="00D15774">
          <w:rPr>
            <w:rStyle w:val="Hyperlink"/>
            <w:sz w:val="24"/>
            <w:szCs w:val="24"/>
          </w:rPr>
          <w:t>http://www.wrapair.org/forums/ogwg/documents/2009-01_06_Baseline_Emissions_Piceance_Basin_Technical_Memo_01-20.pdf</w:t>
        </w:r>
      </w:hyperlink>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8A07D5" w:rsidRDefault="00042617" w:rsidP="008A07D5">
      <w:pPr>
        <w:pStyle w:val="Heading4"/>
        <w:jc w:val="center"/>
        <w:rPr>
          <w:rFonts w:ascii="Times New Roman" w:hAnsi="Times New Roman" w:cs="Times New Roman"/>
          <w:i w:val="0"/>
        </w:rPr>
      </w:pPr>
      <w:bookmarkStart w:id="89" w:name="_Toc369087024"/>
      <w:r w:rsidRPr="008A07D5">
        <w:rPr>
          <w:rFonts w:ascii="Times New Roman" w:hAnsi="Times New Roman" w:cs="Times New Roman"/>
          <w:i w:val="0"/>
          <w:color w:val="auto"/>
        </w:rPr>
        <w:t>Table</w:t>
      </w:r>
      <w:r w:rsidR="00A04C7D" w:rsidRPr="008A07D5">
        <w:rPr>
          <w:rFonts w:ascii="Times New Roman" w:hAnsi="Times New Roman" w:cs="Times New Roman"/>
          <w:i w:val="0"/>
          <w:color w:val="auto"/>
        </w:rPr>
        <w:t xml:space="preserve"> </w:t>
      </w:r>
      <w:r w:rsidR="00416BE9" w:rsidRPr="008A07D5">
        <w:rPr>
          <w:rFonts w:ascii="Times New Roman" w:hAnsi="Times New Roman" w:cs="Times New Roman"/>
          <w:i w:val="0"/>
          <w:color w:val="auto"/>
        </w:rPr>
        <w:t>9</w:t>
      </w:r>
      <w:r w:rsidRPr="008A07D5">
        <w:rPr>
          <w:rFonts w:ascii="Times New Roman" w:hAnsi="Times New Roman" w:cs="Times New Roman"/>
          <w:i w:val="0"/>
          <w:color w:val="auto"/>
        </w:rPr>
        <w:t>: Piceance Basin 2006 NOx Emission Sources (</w:t>
      </w:r>
      <w:r w:rsidR="0059687A" w:rsidRPr="008A07D5">
        <w:rPr>
          <w:rFonts w:ascii="Times New Roman" w:hAnsi="Times New Roman" w:cs="Times New Roman"/>
          <w:i w:val="0"/>
          <w:color w:val="auto"/>
        </w:rPr>
        <w:t>tpy</w:t>
      </w:r>
      <w:r w:rsidRPr="008A07D5">
        <w:rPr>
          <w:rFonts w:ascii="Times New Roman" w:hAnsi="Times New Roman" w:cs="Times New Roman"/>
          <w:i w:val="0"/>
          <w:color w:val="auto"/>
        </w:rPr>
        <w:t>)</w:t>
      </w:r>
      <w:bookmarkEnd w:id="89"/>
      <w:r w:rsidR="00E21C92" w:rsidRPr="008A07D5">
        <w:rPr>
          <w:rFonts w:ascii="Times New Roman" w:hAnsi="Times New Roman" w:cs="Times New Roman"/>
          <w:i w:val="0"/>
          <w:highlight w:val="yellow"/>
        </w:rPr>
        <w:fldChar w:fldCharType="begin"/>
      </w:r>
      <w:r w:rsidRPr="008A07D5">
        <w:rPr>
          <w:rFonts w:ascii="Times New Roman" w:hAnsi="Times New Roman" w:cs="Times New Roman"/>
          <w:i w:val="0"/>
          <w:highlight w:val="yellow"/>
        </w:rPr>
        <w:instrText xml:space="preserve"> TC \l4 "</w:instrText>
      </w:r>
      <w:bookmarkStart w:id="90" w:name="_Toc363192347"/>
      <w:r w:rsidRPr="008A07D5">
        <w:rPr>
          <w:rFonts w:ascii="Times New Roman" w:hAnsi="Times New Roman" w:cs="Times New Roman"/>
          <w:i w:val="0"/>
          <w:highlight w:val="yellow"/>
        </w:rPr>
        <w:instrText>Table 7: Piceance Basin 2006 NOx Emission Sources (TPY)</w:instrText>
      </w:r>
      <w:bookmarkEnd w:id="90"/>
      <w:r w:rsidR="00E21C92" w:rsidRPr="008A07D5">
        <w:rPr>
          <w:rFonts w:ascii="Times New Roman" w:hAnsi="Times New Roman" w:cs="Times New Roman"/>
          <w:i w:val="0"/>
          <w:highlight w:val="yellow"/>
        </w:rPr>
        <w:fldChar w:fldCharType="end"/>
      </w:r>
    </w:p>
    <w:tbl>
      <w:tblPr>
        <w:tblW w:w="11201" w:type="dxa"/>
        <w:jc w:val="center"/>
        <w:tblBorders>
          <w:top w:val="nil"/>
          <w:left w:val="nil"/>
          <w:bottom w:val="nil"/>
          <w:right w:val="nil"/>
          <w:insideH w:val="nil"/>
          <w:insideV w:val="nil"/>
        </w:tblBorders>
        <w:tblLayout w:type="fixed"/>
        <w:tblCellMar>
          <w:left w:w="79" w:type="dxa"/>
          <w:right w:w="79" w:type="dxa"/>
        </w:tblCellMar>
        <w:tblLook w:val="0000" w:firstRow="0" w:lastRow="0" w:firstColumn="0" w:lastColumn="0" w:noHBand="0" w:noVBand="0"/>
      </w:tblPr>
      <w:tblGrid>
        <w:gridCol w:w="1405"/>
        <w:gridCol w:w="1248"/>
        <w:gridCol w:w="764"/>
        <w:gridCol w:w="1058"/>
        <w:gridCol w:w="1030"/>
        <w:gridCol w:w="1248"/>
        <w:gridCol w:w="1030"/>
        <w:gridCol w:w="1094"/>
        <w:gridCol w:w="1326"/>
        <w:gridCol w:w="998"/>
      </w:tblGrid>
      <w:tr w:rsidR="00042617" w:rsidRPr="00D15774" w:rsidTr="00351514">
        <w:trPr>
          <w:trHeight w:val="254"/>
          <w:jc w:val="center"/>
        </w:trPr>
        <w:tc>
          <w:tcPr>
            <w:tcW w:w="1405"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p>
        </w:tc>
        <w:tc>
          <w:tcPr>
            <w:tcW w:w="1248"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Compressor Engines</w:t>
            </w:r>
          </w:p>
        </w:tc>
        <w:tc>
          <w:tcPr>
            <w:tcW w:w="764"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Drill Rigs</w:t>
            </w:r>
          </w:p>
        </w:tc>
        <w:tc>
          <w:tcPr>
            <w:tcW w:w="1058"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Exempt engines</w:t>
            </w:r>
          </w:p>
        </w:tc>
        <w:tc>
          <w:tcPr>
            <w:tcW w:w="1030"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Flaring</w:t>
            </w:r>
          </w:p>
        </w:tc>
        <w:tc>
          <w:tcPr>
            <w:tcW w:w="1248"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Glycol Dehydrator</w:t>
            </w:r>
          </w:p>
        </w:tc>
        <w:tc>
          <w:tcPr>
            <w:tcW w:w="1030"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Heaters</w:t>
            </w:r>
          </w:p>
        </w:tc>
        <w:tc>
          <w:tcPr>
            <w:tcW w:w="1094"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Workover Rigs</w:t>
            </w:r>
          </w:p>
        </w:tc>
        <w:tc>
          <w:tcPr>
            <w:tcW w:w="1326"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Other Categories</w:t>
            </w:r>
          </w:p>
        </w:tc>
        <w:tc>
          <w:tcPr>
            <w:tcW w:w="998"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3E7EF1" w:rsidRPr="00D15774" w:rsidRDefault="003E7EF1">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Grand</w:t>
            </w:r>
          </w:p>
          <w:p w:rsidR="00042617" w:rsidRPr="00D15774" w:rsidRDefault="00042617" w:rsidP="003E7EF1">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Total</w:t>
            </w:r>
          </w:p>
        </w:tc>
      </w:tr>
      <w:tr w:rsidR="00042617" w:rsidRPr="00D15774" w:rsidTr="00351514">
        <w:trPr>
          <w:trHeight w:val="254"/>
          <w:jc w:val="center"/>
        </w:trPr>
        <w:tc>
          <w:tcPr>
            <w:tcW w:w="1405"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Totals</w:t>
            </w:r>
          </w:p>
        </w:tc>
        <w:tc>
          <w:tcPr>
            <w:tcW w:w="1248"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5,705</w:t>
            </w:r>
          </w:p>
        </w:tc>
        <w:tc>
          <w:tcPr>
            <w:tcW w:w="764"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5,382</w:t>
            </w:r>
          </w:p>
        </w:tc>
        <w:tc>
          <w:tcPr>
            <w:tcW w:w="1058"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128</w:t>
            </w:r>
          </w:p>
        </w:tc>
        <w:tc>
          <w:tcPr>
            <w:tcW w:w="1030"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136</w:t>
            </w:r>
          </w:p>
        </w:tc>
        <w:tc>
          <w:tcPr>
            <w:tcW w:w="1248"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53</w:t>
            </w:r>
          </w:p>
        </w:tc>
        <w:tc>
          <w:tcPr>
            <w:tcW w:w="1030"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589</w:t>
            </w:r>
          </w:p>
        </w:tc>
        <w:tc>
          <w:tcPr>
            <w:tcW w:w="1094"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75</w:t>
            </w:r>
          </w:p>
        </w:tc>
        <w:tc>
          <w:tcPr>
            <w:tcW w:w="132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323</w:t>
            </w:r>
          </w:p>
        </w:tc>
        <w:tc>
          <w:tcPr>
            <w:tcW w:w="998"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12,390</w:t>
            </w:r>
          </w:p>
        </w:tc>
      </w:tr>
      <w:tr w:rsidR="00042617" w:rsidRPr="00D15774" w:rsidTr="00351514">
        <w:trPr>
          <w:trHeight w:val="254"/>
          <w:jc w:val="center"/>
        </w:trPr>
        <w:tc>
          <w:tcPr>
            <w:tcW w:w="1405"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Percent of Total</w:t>
            </w:r>
          </w:p>
        </w:tc>
        <w:tc>
          <w:tcPr>
            <w:tcW w:w="1248"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46%</w:t>
            </w:r>
          </w:p>
        </w:tc>
        <w:tc>
          <w:tcPr>
            <w:tcW w:w="764"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43%</w:t>
            </w:r>
          </w:p>
        </w:tc>
        <w:tc>
          <w:tcPr>
            <w:tcW w:w="1058"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w:t>
            </w:r>
          </w:p>
        </w:tc>
        <w:tc>
          <w:tcPr>
            <w:tcW w:w="1030"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w:t>
            </w:r>
          </w:p>
        </w:tc>
        <w:tc>
          <w:tcPr>
            <w:tcW w:w="1248"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0%</w:t>
            </w:r>
          </w:p>
        </w:tc>
        <w:tc>
          <w:tcPr>
            <w:tcW w:w="1030"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5%</w:t>
            </w:r>
          </w:p>
        </w:tc>
        <w:tc>
          <w:tcPr>
            <w:tcW w:w="1094"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w:t>
            </w:r>
          </w:p>
        </w:tc>
        <w:tc>
          <w:tcPr>
            <w:tcW w:w="132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3%</w:t>
            </w:r>
          </w:p>
        </w:tc>
        <w:tc>
          <w:tcPr>
            <w:tcW w:w="998"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100%</w:t>
            </w:r>
          </w:p>
        </w:tc>
      </w:tr>
    </w:tbl>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In the Piceance Basin compressors (46%) and exempt engines (1%) made up 47% of the NOx emissions in 2006, followed by 4</w:t>
      </w:r>
      <w:r w:rsidR="002F6CAE" w:rsidRPr="00D15774">
        <w:t>4</w:t>
      </w:r>
      <w:r w:rsidRPr="00D15774">
        <w:t>% from drill</w:t>
      </w:r>
      <w:r w:rsidR="002F6CAE" w:rsidRPr="00D15774">
        <w:t xml:space="preserve"> (43%) and workover (1%)</w:t>
      </w:r>
      <w:r w:rsidRPr="00D15774">
        <w:t xml:space="preserve"> rigs.</w:t>
      </w:r>
      <w:r w:rsidR="002F6CAE" w:rsidRPr="00D15774">
        <w:t xml:space="preserve"> </w:t>
      </w:r>
      <w:r w:rsidRPr="00D15774">
        <w:t xml:space="preserve"> </w:t>
      </w:r>
      <w:r w:rsidR="002F6CAE" w:rsidRPr="00D15774">
        <w:t xml:space="preserve">NOx is not covered by the new federal NSPS Subpart OOOO, therefore these emission rates should not be affected by that action.  </w:t>
      </w:r>
      <w:r w:rsidRPr="00D15774">
        <w:t>A</w:t>
      </w:r>
      <w:r w:rsidR="002B40E0" w:rsidRPr="00D15774">
        <w:t>lso, a</w:t>
      </w:r>
      <w:r w:rsidRPr="00D15774">
        <w:t xml:space="preserve">s in the Denver-Julesburg basin, there are no Indian Lands in the Piceance Basin, thus the new </w:t>
      </w:r>
      <w:r w:rsidR="006E24A5" w:rsidRPr="00D15774">
        <w:t>“Permitting of Minor S</w:t>
      </w:r>
      <w:r w:rsidRPr="00D15774">
        <w:t>ource</w:t>
      </w:r>
      <w:r w:rsidR="004D1D0A" w:rsidRPr="00D15774">
        <w:t>s on Indian Lands</w:t>
      </w:r>
      <w:r w:rsidR="006E24A5" w:rsidRPr="00D15774">
        <w:t>”</w:t>
      </w:r>
      <w:r w:rsidR="004D1D0A" w:rsidRPr="00D15774">
        <w:t xml:space="preserve"> will have no e</w:t>
      </w:r>
      <w:r w:rsidR="002B40E0" w:rsidRPr="00D15774">
        <w:t>ffect on future</w:t>
      </w:r>
      <w:r w:rsidRPr="00D15774">
        <w:t xml:space="preserve"> emissions in this area.  The overall effect of the new </w:t>
      </w:r>
      <w:r w:rsidR="003558CF" w:rsidRPr="00D15774">
        <w:t xml:space="preserve">federal </w:t>
      </w:r>
      <w:r w:rsidRPr="00D15774">
        <w:t>regulations is therefore likely to be negligible in terms of NOx totals from the Piceance Basin.</w:t>
      </w:r>
    </w:p>
    <w:p w:rsidR="002F6CAE" w:rsidRPr="00D15774" w:rsidRDefault="002F6C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2F6CAE" w:rsidRPr="00D15774" w:rsidRDefault="002F6CAE" w:rsidP="002F6CAE">
      <w:pPr>
        <w:widowControl w:val="0"/>
        <w:spacing w:line="300" w:lineRule="auto"/>
      </w:pPr>
      <w:r w:rsidRPr="00D15774">
        <w:rPr>
          <w:szCs w:val="24"/>
          <w:lang w:val="en-CA"/>
        </w:rPr>
        <w:t>Regarding the 44% of NOx from Nonroad Mobile drill/workover rig engines, the federal</w:t>
      </w:r>
      <w:r w:rsidRPr="00D15774">
        <w:rPr>
          <w:color w:val="000000"/>
          <w:szCs w:val="24"/>
        </w:rPr>
        <w:t xml:space="preserve"> Tier Standards take precedence and should be already accounted for in this inventory.  But Colorado </w:t>
      </w:r>
      <w:r w:rsidRPr="00D15774">
        <w:rPr>
          <w:szCs w:val="24"/>
          <w:lang w:val="en-CA"/>
        </w:rPr>
        <w:fldChar w:fldCharType="begin"/>
      </w:r>
      <w:r w:rsidRPr="00D15774">
        <w:rPr>
          <w:szCs w:val="24"/>
          <w:lang w:val="en-CA"/>
        </w:rPr>
        <w:instrText xml:space="preserve"> SEQ CHAPTER \h \r 1</w:instrText>
      </w:r>
      <w:r w:rsidRPr="00D15774">
        <w:rPr>
          <w:szCs w:val="24"/>
          <w:lang w:val="en-CA"/>
        </w:rPr>
        <w:fldChar w:fldCharType="end"/>
      </w:r>
      <w:r w:rsidRPr="00D15774">
        <w:rPr>
          <w:bCs/>
          <w:color w:val="000000"/>
          <w:szCs w:val="24"/>
        </w:rPr>
        <w:t xml:space="preserve">Regulation 3 Part A, I.B.31 may affect some temporary </w:t>
      </w:r>
      <w:r w:rsidRPr="00D15774">
        <w:rPr>
          <w:color w:val="000000"/>
          <w:szCs w:val="24"/>
        </w:rPr>
        <w:t>engines &gt;1200 HP in size with restricted emissions in order to meet ambient air quality standards.</w:t>
      </w: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A04C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Table </w:t>
      </w:r>
      <w:r w:rsidR="00416BE9" w:rsidRPr="00D15774">
        <w:t>10</w:t>
      </w:r>
      <w:r w:rsidR="00042617" w:rsidRPr="00D15774">
        <w:t xml:space="preserve"> contains a listing of the Piceance Basin VOC emissions from </w:t>
      </w:r>
      <w:r w:rsidR="0099797E" w:rsidRPr="00D15774">
        <w:t>ENVIRON</w:t>
      </w:r>
      <w:r w:rsidR="00042617" w:rsidRPr="00D15774">
        <w:t>’s above cited January 20, 2009 Technical Memo.</w:t>
      </w: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8A07D5" w:rsidRDefault="00042617" w:rsidP="008A07D5">
      <w:pPr>
        <w:pStyle w:val="Heading4"/>
        <w:jc w:val="center"/>
        <w:rPr>
          <w:rFonts w:ascii="Times New Roman" w:hAnsi="Times New Roman" w:cs="Times New Roman"/>
          <w:i w:val="0"/>
        </w:rPr>
      </w:pPr>
      <w:bookmarkStart w:id="91" w:name="_Toc369087025"/>
      <w:r w:rsidRPr="008A07D5">
        <w:rPr>
          <w:rFonts w:ascii="Times New Roman" w:hAnsi="Times New Roman" w:cs="Times New Roman"/>
          <w:i w:val="0"/>
          <w:color w:val="auto"/>
        </w:rPr>
        <w:t xml:space="preserve">Table </w:t>
      </w:r>
      <w:r w:rsidR="00416BE9" w:rsidRPr="008A07D5">
        <w:rPr>
          <w:rFonts w:ascii="Times New Roman" w:hAnsi="Times New Roman" w:cs="Times New Roman"/>
          <w:i w:val="0"/>
          <w:color w:val="auto"/>
        </w:rPr>
        <w:t>10</w:t>
      </w:r>
      <w:r w:rsidRPr="008A07D5">
        <w:rPr>
          <w:rFonts w:ascii="Times New Roman" w:hAnsi="Times New Roman" w:cs="Times New Roman"/>
          <w:i w:val="0"/>
          <w:color w:val="auto"/>
        </w:rPr>
        <w:t>: Piceance Basin 2006 VOC Emission Sources (</w:t>
      </w:r>
      <w:r w:rsidR="0059687A" w:rsidRPr="008A07D5">
        <w:rPr>
          <w:rFonts w:ascii="Times New Roman" w:hAnsi="Times New Roman" w:cs="Times New Roman"/>
          <w:i w:val="0"/>
          <w:color w:val="auto"/>
        </w:rPr>
        <w:t>tpy</w:t>
      </w:r>
      <w:r w:rsidRPr="008A07D5">
        <w:rPr>
          <w:rFonts w:ascii="Times New Roman" w:hAnsi="Times New Roman" w:cs="Times New Roman"/>
          <w:i w:val="0"/>
          <w:color w:val="auto"/>
        </w:rPr>
        <w:t>)</w:t>
      </w:r>
      <w:bookmarkEnd w:id="91"/>
      <w:r w:rsidR="00E21C92" w:rsidRPr="008A07D5">
        <w:rPr>
          <w:rFonts w:ascii="Times New Roman" w:hAnsi="Times New Roman" w:cs="Times New Roman"/>
          <w:i w:val="0"/>
          <w:highlight w:val="yellow"/>
        </w:rPr>
        <w:fldChar w:fldCharType="begin"/>
      </w:r>
      <w:r w:rsidRPr="008A07D5">
        <w:rPr>
          <w:rFonts w:ascii="Times New Roman" w:hAnsi="Times New Roman" w:cs="Times New Roman"/>
          <w:i w:val="0"/>
          <w:highlight w:val="yellow"/>
        </w:rPr>
        <w:instrText xml:space="preserve"> TC \l4 "</w:instrText>
      </w:r>
      <w:bookmarkStart w:id="92" w:name="_Toc363192348"/>
      <w:r w:rsidRPr="008A07D5">
        <w:rPr>
          <w:rFonts w:ascii="Times New Roman" w:hAnsi="Times New Roman" w:cs="Times New Roman"/>
          <w:i w:val="0"/>
          <w:highlight w:val="yellow"/>
        </w:rPr>
        <w:instrText>Table 8: Piceance Basin 2006 VOC Emission Sources (TPY)</w:instrText>
      </w:r>
      <w:bookmarkEnd w:id="92"/>
      <w:r w:rsidR="00E21C92" w:rsidRPr="008A07D5">
        <w:rPr>
          <w:rFonts w:ascii="Times New Roman" w:hAnsi="Times New Roman" w:cs="Times New Roman"/>
          <w:i w:val="0"/>
          <w:highlight w:val="yellow"/>
        </w:rPr>
        <w:fldChar w:fldCharType="end"/>
      </w:r>
    </w:p>
    <w:tbl>
      <w:tblPr>
        <w:tblW w:w="11428" w:type="dxa"/>
        <w:jc w:val="center"/>
        <w:tblBorders>
          <w:top w:val="nil"/>
          <w:left w:val="nil"/>
          <w:bottom w:val="nil"/>
          <w:right w:val="nil"/>
          <w:insideH w:val="nil"/>
          <w:insideV w:val="nil"/>
        </w:tblBorders>
        <w:tblLayout w:type="fixed"/>
        <w:tblCellMar>
          <w:left w:w="35" w:type="dxa"/>
          <w:right w:w="35" w:type="dxa"/>
        </w:tblCellMar>
        <w:tblLook w:val="0000" w:firstRow="0" w:lastRow="0" w:firstColumn="0" w:lastColumn="0" w:noHBand="0" w:noVBand="0"/>
      </w:tblPr>
      <w:tblGrid>
        <w:gridCol w:w="749"/>
        <w:gridCol w:w="608"/>
        <w:gridCol w:w="874"/>
        <w:gridCol w:w="827"/>
        <w:gridCol w:w="842"/>
        <w:gridCol w:w="764"/>
        <w:gridCol w:w="811"/>
        <w:gridCol w:w="920"/>
        <w:gridCol w:w="842"/>
        <w:gridCol w:w="1014"/>
        <w:gridCol w:w="842"/>
        <w:gridCol w:w="952"/>
        <w:gridCol w:w="718"/>
        <w:gridCol w:w="665"/>
      </w:tblGrid>
      <w:tr w:rsidR="00042617" w:rsidRPr="00D15774" w:rsidTr="00351514">
        <w:trPr>
          <w:trHeight w:val="254"/>
          <w:jc w:val="center"/>
        </w:trPr>
        <w:tc>
          <w:tcPr>
            <w:tcW w:w="749"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p>
        </w:tc>
        <w:tc>
          <w:tcPr>
            <w:tcW w:w="608"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Drill Rigs</w:t>
            </w:r>
          </w:p>
        </w:tc>
        <w:tc>
          <w:tcPr>
            <w:tcW w:w="874"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Unpermitted Fugitives</w:t>
            </w:r>
          </w:p>
        </w:tc>
        <w:tc>
          <w:tcPr>
            <w:tcW w:w="827"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Permitted Fugitives</w:t>
            </w:r>
          </w:p>
        </w:tc>
        <w:tc>
          <w:tcPr>
            <w:tcW w:w="842"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Condensate Tanks</w:t>
            </w:r>
          </w:p>
        </w:tc>
        <w:tc>
          <w:tcPr>
            <w:tcW w:w="764"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Pneumatic Devices</w:t>
            </w:r>
          </w:p>
        </w:tc>
        <w:tc>
          <w:tcPr>
            <w:tcW w:w="811"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Pneumatic Pumps</w:t>
            </w:r>
          </w:p>
        </w:tc>
        <w:tc>
          <w:tcPr>
            <w:tcW w:w="920"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Venting – Blowdown</w:t>
            </w:r>
          </w:p>
        </w:tc>
        <w:tc>
          <w:tcPr>
            <w:tcW w:w="842"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Venting - Initial Completion</w:t>
            </w:r>
          </w:p>
        </w:tc>
        <w:tc>
          <w:tcPr>
            <w:tcW w:w="1014"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Venting - Recompletion</w:t>
            </w:r>
          </w:p>
        </w:tc>
        <w:tc>
          <w:tcPr>
            <w:tcW w:w="842"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Compressor Engines</w:t>
            </w:r>
          </w:p>
        </w:tc>
        <w:tc>
          <w:tcPr>
            <w:tcW w:w="952"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Glycol Dehydrator</w:t>
            </w:r>
          </w:p>
        </w:tc>
        <w:tc>
          <w:tcPr>
            <w:tcW w:w="718"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Other Categories</w:t>
            </w:r>
          </w:p>
        </w:tc>
        <w:tc>
          <w:tcPr>
            <w:tcW w:w="665"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3E7EF1" w:rsidRPr="00D15774" w:rsidRDefault="003E7EF1">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Grand</w:t>
            </w:r>
          </w:p>
          <w:p w:rsidR="00042617" w:rsidRPr="00D15774" w:rsidRDefault="00042617" w:rsidP="003E7EF1">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Total</w:t>
            </w:r>
          </w:p>
        </w:tc>
      </w:tr>
      <w:tr w:rsidR="00042617" w:rsidRPr="00D15774" w:rsidTr="00351514">
        <w:trPr>
          <w:trHeight w:val="254"/>
          <w:jc w:val="center"/>
        </w:trPr>
        <w:tc>
          <w:tcPr>
            <w:tcW w:w="749"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Totals</w:t>
            </w:r>
          </w:p>
        </w:tc>
        <w:tc>
          <w:tcPr>
            <w:tcW w:w="608"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244</w:t>
            </w:r>
          </w:p>
        </w:tc>
        <w:tc>
          <w:tcPr>
            <w:tcW w:w="874"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967</w:t>
            </w:r>
          </w:p>
        </w:tc>
        <w:tc>
          <w:tcPr>
            <w:tcW w:w="827"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364</w:t>
            </w:r>
          </w:p>
        </w:tc>
        <w:tc>
          <w:tcPr>
            <w:tcW w:w="842"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3,405</w:t>
            </w:r>
          </w:p>
        </w:tc>
        <w:tc>
          <w:tcPr>
            <w:tcW w:w="764"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1,883</w:t>
            </w:r>
          </w:p>
        </w:tc>
        <w:tc>
          <w:tcPr>
            <w:tcW w:w="811"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648</w:t>
            </w:r>
          </w:p>
        </w:tc>
        <w:tc>
          <w:tcPr>
            <w:tcW w:w="920"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2,172</w:t>
            </w:r>
          </w:p>
        </w:tc>
        <w:tc>
          <w:tcPr>
            <w:tcW w:w="842"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10,845</w:t>
            </w:r>
          </w:p>
        </w:tc>
        <w:tc>
          <w:tcPr>
            <w:tcW w:w="1014"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1,434</w:t>
            </w:r>
          </w:p>
        </w:tc>
        <w:tc>
          <w:tcPr>
            <w:tcW w:w="842"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1,501</w:t>
            </w:r>
          </w:p>
        </w:tc>
        <w:tc>
          <w:tcPr>
            <w:tcW w:w="952"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2,929</w:t>
            </w:r>
          </w:p>
        </w:tc>
        <w:tc>
          <w:tcPr>
            <w:tcW w:w="718"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1,072</w:t>
            </w:r>
          </w:p>
        </w:tc>
        <w:tc>
          <w:tcPr>
            <w:tcW w:w="665"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27,464</w:t>
            </w:r>
          </w:p>
        </w:tc>
      </w:tr>
      <w:tr w:rsidR="00042617" w:rsidRPr="00D15774" w:rsidTr="00351514">
        <w:trPr>
          <w:trHeight w:val="254"/>
          <w:jc w:val="center"/>
        </w:trPr>
        <w:tc>
          <w:tcPr>
            <w:tcW w:w="749" w:type="dxa"/>
            <w:tcBorders>
              <w:top w:val="single" w:sz="10" w:space="0" w:color="000000"/>
              <w:left w:val="single" w:sz="10" w:space="0" w:color="000000"/>
              <w:bottom w:val="single" w:sz="10" w:space="0" w:color="000000"/>
              <w:right w:val="single" w:sz="10" w:space="0" w:color="000000"/>
            </w:tcBorders>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Percent of Total</w:t>
            </w:r>
          </w:p>
        </w:tc>
        <w:tc>
          <w:tcPr>
            <w:tcW w:w="608"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w:t>
            </w:r>
          </w:p>
        </w:tc>
        <w:tc>
          <w:tcPr>
            <w:tcW w:w="874"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4%</w:t>
            </w:r>
          </w:p>
        </w:tc>
        <w:tc>
          <w:tcPr>
            <w:tcW w:w="827"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w:t>
            </w:r>
          </w:p>
        </w:tc>
        <w:tc>
          <w:tcPr>
            <w:tcW w:w="842"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12%</w:t>
            </w:r>
          </w:p>
        </w:tc>
        <w:tc>
          <w:tcPr>
            <w:tcW w:w="764"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7%</w:t>
            </w:r>
          </w:p>
        </w:tc>
        <w:tc>
          <w:tcPr>
            <w:tcW w:w="811"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w:t>
            </w:r>
          </w:p>
        </w:tc>
        <w:tc>
          <w:tcPr>
            <w:tcW w:w="920"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8%</w:t>
            </w:r>
          </w:p>
        </w:tc>
        <w:tc>
          <w:tcPr>
            <w:tcW w:w="842"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39%</w:t>
            </w:r>
          </w:p>
        </w:tc>
        <w:tc>
          <w:tcPr>
            <w:tcW w:w="1014"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5%</w:t>
            </w:r>
          </w:p>
        </w:tc>
        <w:tc>
          <w:tcPr>
            <w:tcW w:w="842"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5%</w:t>
            </w:r>
          </w:p>
        </w:tc>
        <w:tc>
          <w:tcPr>
            <w:tcW w:w="952"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11%</w:t>
            </w:r>
          </w:p>
        </w:tc>
        <w:tc>
          <w:tcPr>
            <w:tcW w:w="718"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4%</w:t>
            </w:r>
          </w:p>
        </w:tc>
        <w:tc>
          <w:tcPr>
            <w:tcW w:w="665"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100%</w:t>
            </w:r>
          </w:p>
        </w:tc>
      </w:tr>
    </w:tbl>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In this case, venting from initial completions (39%), venting blowdowns (8%) and recompletions (5%) comprise more than half - 52% of the VOC emissions in the Piceance Basin.  This is followed by condensate tanks with 12%, glycol dehydrators with 11% and pneumatic devices with 7% of the Piceance VOC emissions.</w:t>
      </w:r>
    </w:p>
    <w:p w:rsidR="003558CF" w:rsidRPr="00D15774" w:rsidRDefault="003558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493D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lastRenderedPageBreak/>
        <w:t xml:space="preserve">Regarding well completions </w:t>
      </w:r>
      <w:r w:rsidR="003558CF" w:rsidRPr="00D15774">
        <w:t xml:space="preserve">(venting blowdowns in the Phase III inventory) </w:t>
      </w:r>
      <w:r w:rsidRPr="00D15774">
        <w:t xml:space="preserve">under Subpart OOOO any new or existing non-exploratory or non-delineation wells (wells that are in close proximity to a gathering line) that have undergone high pressure hydraulic fracturing (fracing), the regulation requires “Green Completions” for these wells, in combination with pit flaring for gas unsuitable to enter a sales pipeline.  </w:t>
      </w:r>
      <w:r w:rsidR="00042617" w:rsidRPr="00D15774">
        <w:t xml:space="preserve">However the Colorado Oil &amp; Gas Conservation Commission HB-07-1341, Section 805.b(3) </w:t>
      </w:r>
      <w:r w:rsidR="002B40E0" w:rsidRPr="00D15774">
        <w:t xml:space="preserve">already </w:t>
      </w:r>
      <w:r w:rsidR="00042617" w:rsidRPr="00D15774">
        <w:t>requires green completions when technically and economically feasible.  If not feasible, Best Management Practices shall be used.  Thus the effect of Subpart OOOO will be minimized in the Piceance Basin by existing Colorado regulations.</w:t>
      </w:r>
    </w:p>
    <w:p w:rsidR="003558CF" w:rsidRPr="00D15774" w:rsidRDefault="003558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Also applicable to this basin, </w:t>
      </w:r>
      <w:r w:rsidR="00493D39" w:rsidRPr="00D15774">
        <w:t xml:space="preserve">the </w:t>
      </w:r>
      <w:r w:rsidR="00493D39" w:rsidRPr="00D15774">
        <w:rPr>
          <w:rStyle w:val="FigureChar"/>
          <w:rFonts w:ascii="Times New Roman" w:hAnsi="Times New Roman"/>
          <w:b w:val="0"/>
          <w:sz w:val="24"/>
        </w:rPr>
        <w:t xml:space="preserve">Subpart OOOO regulation requires condensate tanks </w:t>
      </w:r>
      <w:r w:rsidR="00493D39" w:rsidRPr="00D15774">
        <w:t>constructed or modified after August 23, 2011, with 6 tpy of VOC of uncontrolled emissions</w:t>
      </w:r>
      <w:r w:rsidR="00493D39" w:rsidRPr="00D15774">
        <w:rPr>
          <w:rStyle w:val="FigureChar"/>
          <w:rFonts w:ascii="Times New Roman" w:hAnsi="Times New Roman"/>
          <w:b w:val="0"/>
          <w:sz w:val="24"/>
        </w:rPr>
        <w:t xml:space="preserve"> to reduce VOC by 95%.</w:t>
      </w:r>
      <w:r w:rsidRPr="00D15774">
        <w:t xml:space="preserve"> </w:t>
      </w:r>
      <w:r w:rsidR="00493D39" w:rsidRPr="00D15774">
        <w:t xml:space="preserve"> </w:t>
      </w:r>
      <w:r w:rsidR="004405C4" w:rsidRPr="00D15774">
        <w:t>A</w:t>
      </w:r>
      <w:r w:rsidRPr="00D15774">
        <w:t xml:space="preserve">s noted before the State of Colorado already requires 95% VOC reduction for tanks containing unstabilized condensate at gas processing plants if uncontrolled emissions are greater than or equal to 2 </w:t>
      </w:r>
      <w:r w:rsidR="0059687A" w:rsidRPr="00D15774">
        <w:t>tpy</w:t>
      </w:r>
      <w:r w:rsidRPr="00D15774">
        <w:t xml:space="preserve"> (Reg. 7, XII.G.2).  The 95% control applies for all hydrocarbon liquids (not just unstabilized condensate) if uncontrolled emissions are greater than or equal to 20 </w:t>
      </w:r>
      <w:r w:rsidR="0059687A" w:rsidRPr="00D15774">
        <w:t>tpy</w:t>
      </w:r>
      <w:r w:rsidRPr="00D15774">
        <w:t xml:space="preserve"> (Reg. 7, XVII.C.1).   Furthermore if the tanks are within 1/4 mile of an affected building (COGCC HB-07-1341, Section 805.b(2)A), the threshold for all hydrocarbon liquids is lowered to a level of uncontrolled emissions greater than or equal to 5 </w:t>
      </w:r>
      <w:r w:rsidR="0059687A" w:rsidRPr="00D15774">
        <w:t>tpy</w:t>
      </w:r>
      <w:r w:rsidRPr="00D15774">
        <w:t xml:space="preserve">.  There are other requirements for auto ignitors and surveillance at controlled locations based on emission level.  Thus the effect of Subpart OOOO </w:t>
      </w:r>
      <w:r w:rsidR="002B40E0" w:rsidRPr="00D15774">
        <w:t xml:space="preserve">on completions/re-completions in the Piceance Basin </w:t>
      </w:r>
      <w:r w:rsidRPr="00D15774">
        <w:t>will be minimized by existing Colorado regulations.</w:t>
      </w:r>
    </w:p>
    <w:p w:rsidR="002B40E0" w:rsidRPr="00D15774" w:rsidRDefault="002B40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493D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Regarding glycol dehydrators, EPA previously proposed to remove the 1 ton per year benzene compliance option for large glycol dehydrators, but with the revised risk analysis, the final rule retained this 1 TPY option for large dehydrators.  If annual benzene emissions don’t meet the 1 TPY threshold, under Subpart OOOO the large dehydrators would have to reduce air toxics emissions by 95 percent.  </w:t>
      </w:r>
      <w:r w:rsidR="004405C4" w:rsidRPr="00D15774">
        <w:t>T</w:t>
      </w:r>
      <w:r w:rsidR="00042617" w:rsidRPr="00D15774">
        <w:t>he State of Colorado Reg</w:t>
      </w:r>
      <w:r w:rsidR="004405C4" w:rsidRPr="00D15774">
        <w:t>ulation</w:t>
      </w:r>
      <w:r w:rsidR="00042617" w:rsidRPr="00D15774">
        <w:t xml:space="preserve"> 7, XII.H and XVII.D requires 90% reduction of VOCs where uncontrolled VOC emissions ≥ 15 tpy.  The threshold is reduced to  ≥ 5 tpy within 1/4 mile of an affected building under COGCC HB-07-1341, Section 805.b(2)C).  So once again the effect of Subpart OOOO</w:t>
      </w:r>
      <w:r w:rsidR="003558CF" w:rsidRPr="00D15774">
        <w:t xml:space="preserve"> glycol </w:t>
      </w:r>
      <w:r w:rsidR="002B40E0" w:rsidRPr="00D15774">
        <w:t xml:space="preserve">dehydrator </w:t>
      </w:r>
      <w:r w:rsidR="003558CF" w:rsidRPr="00D15774">
        <w:t xml:space="preserve">regulations </w:t>
      </w:r>
      <w:r w:rsidR="00042617" w:rsidRPr="00D15774">
        <w:t xml:space="preserve">will be </w:t>
      </w:r>
      <w:r w:rsidR="002B40E0" w:rsidRPr="00D15774">
        <w:t>minimized in the Piceance Basin by existing Colorado regulations</w:t>
      </w: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BB01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For</w:t>
      </w:r>
      <w:r w:rsidR="00042617" w:rsidRPr="00D15774">
        <w:t xml:space="preserve"> pneumatic devices, under Subpart OOOO no VOC emissions </w:t>
      </w:r>
      <w:r w:rsidR="00493D39" w:rsidRPr="00D15774">
        <w:t>are</w:t>
      </w:r>
      <w:r w:rsidR="00042617" w:rsidRPr="00D15774">
        <w:t xml:space="preserve"> allowed from devices located at gas processing plants, while devices at other sites would be limited to emissions of 6 ft</w:t>
      </w:r>
      <w:r w:rsidR="00042617" w:rsidRPr="00D15774">
        <w:rPr>
          <w:vertAlign w:val="superscript"/>
        </w:rPr>
        <w:t>3</w:t>
      </w:r>
      <w:r w:rsidR="00493D39" w:rsidRPr="00D15774">
        <w:t>/day (</w:t>
      </w:r>
      <w:r w:rsidR="00042617" w:rsidRPr="00D15774">
        <w:t xml:space="preserve">equivalent to bleed devices).  Reg. 7, XVIII.C.1 of the CDPHE already requires no or low-bleed pneumatic controllers for all new &amp; existing applications (exceptions allowed), so the impact of Subpart OOOO </w:t>
      </w:r>
      <w:r w:rsidR="003558CF" w:rsidRPr="00D15774">
        <w:t xml:space="preserve">pneumatic regulations </w:t>
      </w:r>
      <w:r w:rsidR="00042617" w:rsidRPr="00D15774">
        <w:t>would be minimized</w:t>
      </w:r>
      <w:r w:rsidR="00493D39" w:rsidRPr="00D15774">
        <w:t xml:space="preserve"> in the Piceance Basin</w:t>
      </w:r>
      <w:r w:rsidR="00042617" w:rsidRPr="00D15774">
        <w:t>.</w:t>
      </w:r>
    </w:p>
    <w:p w:rsidR="006E2C18" w:rsidRPr="00D15774" w:rsidRDefault="006E2C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B17149" w:rsidRDefault="00042617" w:rsidP="008A07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rPr>
          <w:rStyle w:val="Heading3Char"/>
        </w:rPr>
      </w:pPr>
      <w:r w:rsidRPr="00D15774">
        <w:t xml:space="preserve">Regarding the </w:t>
      </w:r>
      <w:r w:rsidR="00956808" w:rsidRPr="00D15774">
        <w:t>federal</w:t>
      </w:r>
      <w:r w:rsidRPr="00D15774">
        <w:t xml:space="preserve"> </w:t>
      </w:r>
      <w:r w:rsidR="004405C4" w:rsidRPr="00D15774">
        <w:t>r</w:t>
      </w:r>
      <w:r w:rsidRPr="00D15774">
        <w:t xml:space="preserve">ules for </w:t>
      </w:r>
      <w:r w:rsidR="006E24A5" w:rsidRPr="00D15774">
        <w:t>“Permitting of Minor S</w:t>
      </w:r>
      <w:r w:rsidRPr="00D15774">
        <w:t>ources on Indian Lands</w:t>
      </w:r>
      <w:r w:rsidR="006E24A5" w:rsidRPr="00D15774">
        <w:t>”</w:t>
      </w:r>
      <w:r w:rsidRPr="00D15774">
        <w:t xml:space="preserve">, like for NOx noted above, there are no Indian Lands in the Piceance, and therefore the new </w:t>
      </w:r>
      <w:r w:rsidR="003558CF" w:rsidRPr="00D15774">
        <w:t xml:space="preserve">federal permitting </w:t>
      </w:r>
      <w:r w:rsidRPr="00D15774">
        <w:t>requirements will have no effect on VOC emission totals in this area in the future.</w:t>
      </w:r>
      <w:r w:rsidR="006E2C18" w:rsidRPr="00D15774">
        <w:br w:type="page"/>
      </w:r>
      <w:r w:rsidRPr="00E47241">
        <w:rPr>
          <w:rStyle w:val="Heading3Char"/>
          <w:color w:val="auto"/>
        </w:rPr>
        <w:lastRenderedPageBreak/>
        <w:t>North San Juan Basin 2006 Emissions</w:t>
      </w:r>
      <w:r w:rsidR="00E21C92" w:rsidRPr="00B17149">
        <w:rPr>
          <w:rStyle w:val="Heading3Char"/>
        </w:rPr>
        <w:fldChar w:fldCharType="begin"/>
      </w:r>
      <w:r w:rsidRPr="00B17149">
        <w:rPr>
          <w:rStyle w:val="Heading3Char"/>
        </w:rPr>
        <w:instrText xml:space="preserve"> TC \l3 "</w:instrText>
      </w:r>
      <w:bookmarkStart w:id="93" w:name="_Toc363192349"/>
      <w:r w:rsidRPr="00B17149">
        <w:rPr>
          <w:rStyle w:val="Heading3Char"/>
        </w:rPr>
        <w:instrText>North San Juan Basin 2006 Emissions</w:instrText>
      </w:r>
      <w:bookmarkEnd w:id="93"/>
      <w:r w:rsidR="00E21C92" w:rsidRPr="00B17149">
        <w:rPr>
          <w:rStyle w:val="Heading3Char"/>
        </w:rPr>
        <w:fldChar w:fldCharType="end"/>
      </w:r>
    </w:p>
    <w:p w:rsidR="00C144C1" w:rsidRPr="008A07D5" w:rsidRDefault="00042617" w:rsidP="008A07D5">
      <w:pPr>
        <w:pStyle w:val="Heading4"/>
        <w:jc w:val="center"/>
        <w:rPr>
          <w:rFonts w:ascii="Times New Roman" w:hAnsi="Times New Roman" w:cs="Times New Roman"/>
          <w:i w:val="0"/>
        </w:rPr>
      </w:pPr>
      <w:bookmarkStart w:id="94" w:name="_Toc369087026"/>
      <w:r w:rsidRPr="008A07D5">
        <w:rPr>
          <w:rFonts w:ascii="Times New Roman" w:hAnsi="Times New Roman" w:cs="Times New Roman"/>
          <w:i w:val="0"/>
          <w:color w:val="auto"/>
        </w:rPr>
        <w:t>Figure 5: North San Juan Basin Boundaries Overlaid With 2006 O&amp;G Well Locations</w:t>
      </w:r>
      <w:bookmarkEnd w:id="94"/>
      <w:r w:rsidR="00F421CF" w:rsidRPr="008A07D5">
        <w:rPr>
          <w:rFonts w:ascii="Times New Roman" w:hAnsi="Times New Roman" w:cs="Times New Roman"/>
          <w:i w:val="0"/>
        </w:rPr>
        <w:fldChar w:fldCharType="begin"/>
      </w:r>
      <w:r w:rsidR="00F421CF" w:rsidRPr="008A07D5">
        <w:rPr>
          <w:rFonts w:ascii="Times New Roman" w:hAnsi="Times New Roman" w:cs="Times New Roman"/>
          <w:i w:val="0"/>
        </w:rPr>
        <w:instrText xml:space="preserve"> TC \l4 "</w:instrText>
      </w:r>
      <w:bookmarkStart w:id="95" w:name="_Toc363192350"/>
      <w:r w:rsidR="00F421CF" w:rsidRPr="008A07D5">
        <w:rPr>
          <w:rFonts w:ascii="Times New Roman" w:hAnsi="Times New Roman" w:cs="Times New Roman"/>
          <w:i w:val="0"/>
        </w:rPr>
        <w:instrText>Figure 5: North San Juan Basin Boundaries Overlaid With 2006 O&amp;G Well Locations</w:instrText>
      </w:r>
      <w:bookmarkEnd w:id="95"/>
      <w:r w:rsidR="00F421CF" w:rsidRPr="008A07D5">
        <w:rPr>
          <w:rFonts w:ascii="Times New Roman" w:hAnsi="Times New Roman" w:cs="Times New Roman"/>
          <w:i w:val="0"/>
        </w:rPr>
        <w:fldChar w:fldCharType="end"/>
      </w:r>
    </w:p>
    <w:p w:rsidR="00C144C1" w:rsidRPr="00D15774" w:rsidRDefault="00C144C1">
      <w:pPr>
        <w:tabs>
          <w:tab w:val="center" w:pos="4680"/>
        </w:tabs>
        <w:spacing w:line="300" w:lineRule="auto"/>
        <w:rPr>
          <w:u w:val="single"/>
        </w:rPr>
      </w:pPr>
    </w:p>
    <w:p w:rsidR="00042617" w:rsidRPr="00D15774" w:rsidRDefault="00C144C1">
      <w:pPr>
        <w:tabs>
          <w:tab w:val="center" w:pos="4680"/>
        </w:tabs>
        <w:spacing w:line="300" w:lineRule="auto"/>
      </w:pPr>
      <w:r w:rsidRPr="00D15774">
        <w:rPr>
          <w:noProof/>
        </w:rPr>
        <w:drawing>
          <wp:inline distT="0" distB="0" distL="0" distR="0" wp14:anchorId="2A4E67E8" wp14:editId="1CF4EFCC">
            <wp:extent cx="6610350" cy="8305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a:stretch>
                      <a:fillRect/>
                    </a:stretch>
                  </pic:blipFill>
                  <pic:spPr bwMode="auto">
                    <a:xfrm>
                      <a:off x="0" y="0"/>
                      <a:ext cx="6610350" cy="8305800"/>
                    </a:xfrm>
                    <a:prstGeom prst="rect">
                      <a:avLst/>
                    </a:prstGeom>
                    <a:noFill/>
                    <a:ln w="9525">
                      <a:noFill/>
                      <a:miter lim="800000"/>
                      <a:headEnd/>
                      <a:tailEnd/>
                    </a:ln>
                  </pic:spPr>
                </pic:pic>
              </a:graphicData>
            </a:graphic>
          </wp:inline>
        </w:drawing>
      </w:r>
    </w:p>
    <w:p w:rsidR="00042617" w:rsidRPr="00D15774" w:rsidRDefault="00A04C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lastRenderedPageBreak/>
        <w:t>Table 1</w:t>
      </w:r>
      <w:r w:rsidR="00416BE9" w:rsidRPr="00D15774">
        <w:t>1</w:t>
      </w:r>
      <w:r w:rsidR="00042617" w:rsidRPr="00D15774">
        <w:t xml:space="preserve"> contains a listing of the North San Juan Basin NOx emissions from the </w:t>
      </w:r>
      <w:r w:rsidR="0099797E" w:rsidRPr="00D15774">
        <w:t>ENVIRON</w:t>
      </w:r>
      <w:r w:rsidR="00042617" w:rsidRPr="00D15774">
        <w:t>’s September 1, 2009 Technical Memo, “DEVELOPMENT OF BASELINE 2006 AND MIDTERM 2012 EMISSIONS FROM OIL AND GAS ACTIVITY IN THE NORTH SAN JUAN BASIN” located at:</w:t>
      </w: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645938" w:rsidP="00B224FC">
      <w:pPr>
        <w:tabs>
          <w:tab w:val="center" w:pos="5760"/>
        </w:tabs>
        <w:spacing w:line="300" w:lineRule="auto"/>
        <w:ind w:left="-1170" w:right="-1170"/>
        <w:jc w:val="center"/>
        <w:rPr>
          <w:szCs w:val="24"/>
        </w:rPr>
      </w:pPr>
      <w:hyperlink r:id="rId43" w:history="1">
        <w:r w:rsidR="007E2062" w:rsidRPr="00D15774">
          <w:rPr>
            <w:rStyle w:val="Hyperlink"/>
            <w:sz w:val="24"/>
            <w:szCs w:val="24"/>
          </w:rPr>
          <w:t>http://www.wrapair.org/forums/ogwg/documents/NSanJuanBasin/2009-09_06_Baseline_and_12_Midterm_Emissions_N_San_Juan_Basin_Technical_Memo_09-01.pdf</w:t>
        </w:r>
      </w:hyperlink>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8A07D5" w:rsidRDefault="00042617" w:rsidP="008A07D5">
      <w:pPr>
        <w:pStyle w:val="Heading4"/>
        <w:jc w:val="center"/>
        <w:rPr>
          <w:rFonts w:ascii="Times New Roman" w:hAnsi="Times New Roman" w:cs="Times New Roman"/>
          <w:i w:val="0"/>
          <w:color w:val="auto"/>
        </w:rPr>
      </w:pPr>
      <w:bookmarkStart w:id="96" w:name="_Toc369087027"/>
      <w:r w:rsidRPr="008A07D5">
        <w:rPr>
          <w:rFonts w:ascii="Times New Roman" w:hAnsi="Times New Roman" w:cs="Times New Roman"/>
          <w:i w:val="0"/>
          <w:color w:val="auto"/>
        </w:rPr>
        <w:t xml:space="preserve">Table </w:t>
      </w:r>
      <w:r w:rsidR="00A04C7D" w:rsidRPr="008A07D5">
        <w:rPr>
          <w:rFonts w:ascii="Times New Roman" w:hAnsi="Times New Roman" w:cs="Times New Roman"/>
          <w:i w:val="0"/>
          <w:color w:val="auto"/>
        </w:rPr>
        <w:t>1</w:t>
      </w:r>
      <w:r w:rsidR="00416BE9" w:rsidRPr="008A07D5">
        <w:rPr>
          <w:rFonts w:ascii="Times New Roman" w:hAnsi="Times New Roman" w:cs="Times New Roman"/>
          <w:i w:val="0"/>
          <w:color w:val="auto"/>
        </w:rPr>
        <w:t>1</w:t>
      </w:r>
      <w:r w:rsidRPr="008A07D5">
        <w:rPr>
          <w:rFonts w:ascii="Times New Roman" w:hAnsi="Times New Roman" w:cs="Times New Roman"/>
          <w:i w:val="0"/>
          <w:color w:val="auto"/>
        </w:rPr>
        <w:t>: North San Juan Basin 2006 NOx Emission Sources (</w:t>
      </w:r>
      <w:r w:rsidR="0059687A" w:rsidRPr="008A07D5">
        <w:rPr>
          <w:rFonts w:ascii="Times New Roman" w:hAnsi="Times New Roman" w:cs="Times New Roman"/>
          <w:i w:val="0"/>
          <w:color w:val="auto"/>
        </w:rPr>
        <w:t>tpy</w:t>
      </w:r>
      <w:r w:rsidRPr="008A07D5">
        <w:rPr>
          <w:rFonts w:ascii="Times New Roman" w:hAnsi="Times New Roman" w:cs="Times New Roman"/>
          <w:i w:val="0"/>
          <w:color w:val="auto"/>
        </w:rPr>
        <w:t>)</w:t>
      </w:r>
      <w:bookmarkEnd w:id="96"/>
      <w:r w:rsidR="00E21C92" w:rsidRPr="008A07D5">
        <w:rPr>
          <w:rFonts w:ascii="Times New Roman" w:hAnsi="Times New Roman" w:cs="Times New Roman"/>
          <w:i w:val="0"/>
          <w:color w:val="auto"/>
        </w:rPr>
        <w:fldChar w:fldCharType="begin"/>
      </w:r>
      <w:r w:rsidRPr="008A07D5">
        <w:rPr>
          <w:rFonts w:ascii="Times New Roman" w:hAnsi="Times New Roman" w:cs="Times New Roman"/>
          <w:i w:val="0"/>
          <w:color w:val="auto"/>
        </w:rPr>
        <w:instrText xml:space="preserve"> TC \l4 "</w:instrText>
      </w:r>
      <w:bookmarkStart w:id="97" w:name="_Toc363192351"/>
      <w:r w:rsidRPr="008A07D5">
        <w:rPr>
          <w:rFonts w:ascii="Times New Roman" w:hAnsi="Times New Roman" w:cs="Times New Roman"/>
          <w:i w:val="0"/>
          <w:color w:val="auto"/>
        </w:rPr>
        <w:instrText>Table 9: North San Juan Basin 2006 NOx Emission Sources (TPY)</w:instrText>
      </w:r>
      <w:bookmarkEnd w:id="97"/>
      <w:r w:rsidR="00E21C92" w:rsidRPr="008A07D5">
        <w:rPr>
          <w:rFonts w:ascii="Times New Roman" w:hAnsi="Times New Roman" w:cs="Times New Roman"/>
          <w:i w:val="0"/>
          <w:color w:val="auto"/>
        </w:rPr>
        <w:fldChar w:fldCharType="end"/>
      </w:r>
    </w:p>
    <w:tbl>
      <w:tblPr>
        <w:tblW w:w="10623" w:type="dxa"/>
        <w:jc w:val="center"/>
        <w:tblBorders>
          <w:top w:val="nil"/>
          <w:left w:val="nil"/>
          <w:bottom w:val="nil"/>
          <w:right w:val="nil"/>
          <w:insideH w:val="nil"/>
          <w:insideV w:val="nil"/>
        </w:tblBorders>
        <w:tblLayout w:type="fixed"/>
        <w:tblCellMar>
          <w:left w:w="85" w:type="dxa"/>
          <w:right w:w="85" w:type="dxa"/>
        </w:tblCellMar>
        <w:tblLook w:val="0000" w:firstRow="0" w:lastRow="0" w:firstColumn="0" w:lastColumn="0" w:noHBand="0" w:noVBand="0"/>
      </w:tblPr>
      <w:tblGrid>
        <w:gridCol w:w="1621"/>
        <w:gridCol w:w="1217"/>
        <w:gridCol w:w="780"/>
        <w:gridCol w:w="1451"/>
        <w:gridCol w:w="1092"/>
        <w:gridCol w:w="1248"/>
        <w:gridCol w:w="936"/>
        <w:gridCol w:w="1248"/>
        <w:gridCol w:w="1030"/>
      </w:tblGrid>
      <w:tr w:rsidR="00042617" w:rsidRPr="00D15774" w:rsidTr="006E2C18">
        <w:trPr>
          <w:trHeight w:val="415"/>
          <w:jc w:val="center"/>
        </w:trPr>
        <w:tc>
          <w:tcPr>
            <w:tcW w:w="1621"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p>
        </w:tc>
        <w:tc>
          <w:tcPr>
            <w:tcW w:w="1217"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b/>
                <w:sz w:val="20"/>
              </w:rPr>
            </w:pPr>
            <w:r w:rsidRPr="00D15774">
              <w:rPr>
                <w:sz w:val="20"/>
              </w:rPr>
              <w:t>Compressor Engines</w:t>
            </w:r>
          </w:p>
        </w:tc>
        <w:tc>
          <w:tcPr>
            <w:tcW w:w="780"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b/>
                <w:sz w:val="20"/>
              </w:rPr>
            </w:pPr>
            <w:r w:rsidRPr="00D15774">
              <w:rPr>
                <w:sz w:val="20"/>
              </w:rPr>
              <w:t>Drill Rigs</w:t>
            </w:r>
          </w:p>
        </w:tc>
        <w:tc>
          <w:tcPr>
            <w:tcW w:w="1451"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b/>
                <w:sz w:val="20"/>
              </w:rPr>
            </w:pPr>
            <w:r w:rsidRPr="00D15774">
              <w:rPr>
                <w:sz w:val="20"/>
              </w:rPr>
              <w:t>Miscellaneous Engines</w:t>
            </w:r>
          </w:p>
        </w:tc>
        <w:tc>
          <w:tcPr>
            <w:tcW w:w="1092"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Heaters/</w:t>
            </w:r>
          </w:p>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b/>
                <w:sz w:val="20"/>
              </w:rPr>
            </w:pPr>
            <w:r w:rsidRPr="00D15774">
              <w:rPr>
                <w:sz w:val="20"/>
              </w:rPr>
              <w:t>Boilers</w:t>
            </w:r>
          </w:p>
        </w:tc>
        <w:tc>
          <w:tcPr>
            <w:tcW w:w="1248"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b/>
                <w:sz w:val="20"/>
              </w:rPr>
            </w:pPr>
            <w:r w:rsidRPr="00D15774">
              <w:rPr>
                <w:sz w:val="20"/>
              </w:rPr>
              <w:t>Dehydrators</w:t>
            </w:r>
          </w:p>
        </w:tc>
        <w:tc>
          <w:tcPr>
            <w:tcW w:w="936"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Flaring</w:t>
            </w:r>
          </w:p>
        </w:tc>
        <w:tc>
          <w:tcPr>
            <w:tcW w:w="1248"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b/>
                <w:sz w:val="20"/>
              </w:rPr>
            </w:pPr>
            <w:r w:rsidRPr="00D15774">
              <w:rPr>
                <w:sz w:val="20"/>
              </w:rPr>
              <w:t>Other Categories</w:t>
            </w:r>
          </w:p>
        </w:tc>
        <w:tc>
          <w:tcPr>
            <w:tcW w:w="1030"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620E70" w:rsidRPr="00D15774" w:rsidRDefault="00620E7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b/>
                <w:sz w:val="20"/>
              </w:rPr>
            </w:pPr>
            <w:r w:rsidRPr="00D15774">
              <w:rPr>
                <w:b/>
                <w:sz w:val="20"/>
              </w:rPr>
              <w:t>Grand</w:t>
            </w:r>
          </w:p>
          <w:p w:rsidR="00042617" w:rsidRPr="00D15774" w:rsidRDefault="00042617" w:rsidP="00620E7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b/>
                <w:sz w:val="20"/>
              </w:rPr>
              <w:t>Total</w:t>
            </w:r>
          </w:p>
        </w:tc>
      </w:tr>
      <w:tr w:rsidR="00042617" w:rsidRPr="00D15774" w:rsidTr="006E2C18">
        <w:trPr>
          <w:trHeight w:val="254"/>
          <w:jc w:val="center"/>
        </w:trPr>
        <w:tc>
          <w:tcPr>
            <w:tcW w:w="1621" w:type="dxa"/>
            <w:tcBorders>
              <w:top w:val="single" w:sz="10" w:space="0" w:color="000000"/>
              <w:left w:val="single" w:sz="10" w:space="0" w:color="000000"/>
              <w:bottom w:val="single" w:sz="10" w:space="0" w:color="000000"/>
              <w:right w:val="single" w:sz="10" w:space="0" w:color="000000"/>
            </w:tcBorders>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Totals</w:t>
            </w:r>
          </w:p>
        </w:tc>
        <w:tc>
          <w:tcPr>
            <w:tcW w:w="1217"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4,947</w:t>
            </w:r>
          </w:p>
        </w:tc>
        <w:tc>
          <w:tcPr>
            <w:tcW w:w="780"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225</w:t>
            </w:r>
          </w:p>
        </w:tc>
        <w:tc>
          <w:tcPr>
            <w:tcW w:w="1451"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48</w:t>
            </w:r>
          </w:p>
        </w:tc>
        <w:tc>
          <w:tcPr>
            <w:tcW w:w="1092"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462</w:t>
            </w:r>
          </w:p>
        </w:tc>
        <w:tc>
          <w:tcPr>
            <w:tcW w:w="1248"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4</w:t>
            </w:r>
          </w:p>
        </w:tc>
        <w:tc>
          <w:tcPr>
            <w:tcW w:w="936"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3</w:t>
            </w:r>
          </w:p>
        </w:tc>
        <w:tc>
          <w:tcPr>
            <w:tcW w:w="1248"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12</w:t>
            </w:r>
          </w:p>
        </w:tc>
        <w:tc>
          <w:tcPr>
            <w:tcW w:w="1030"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5,700</w:t>
            </w:r>
          </w:p>
        </w:tc>
      </w:tr>
      <w:tr w:rsidR="00042617" w:rsidRPr="00D15774" w:rsidTr="006E2C18">
        <w:trPr>
          <w:trHeight w:val="254"/>
          <w:jc w:val="center"/>
        </w:trPr>
        <w:tc>
          <w:tcPr>
            <w:tcW w:w="1621" w:type="dxa"/>
            <w:tcBorders>
              <w:top w:val="single" w:sz="10" w:space="0" w:color="000000"/>
              <w:left w:val="single" w:sz="10" w:space="0" w:color="000000"/>
              <w:bottom w:val="single" w:sz="10" w:space="0" w:color="000000"/>
              <w:right w:val="single" w:sz="10" w:space="0" w:color="000000"/>
            </w:tcBorders>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Percent of Total</w:t>
            </w:r>
          </w:p>
        </w:tc>
        <w:tc>
          <w:tcPr>
            <w:tcW w:w="1217"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87%</w:t>
            </w:r>
          </w:p>
        </w:tc>
        <w:tc>
          <w:tcPr>
            <w:tcW w:w="780"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4%</w:t>
            </w:r>
          </w:p>
        </w:tc>
        <w:tc>
          <w:tcPr>
            <w:tcW w:w="1451"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w:t>
            </w:r>
          </w:p>
        </w:tc>
        <w:tc>
          <w:tcPr>
            <w:tcW w:w="1092"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8%</w:t>
            </w:r>
          </w:p>
        </w:tc>
        <w:tc>
          <w:tcPr>
            <w:tcW w:w="1248"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0%</w:t>
            </w:r>
          </w:p>
        </w:tc>
        <w:tc>
          <w:tcPr>
            <w:tcW w:w="936"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0%</w:t>
            </w:r>
          </w:p>
        </w:tc>
        <w:tc>
          <w:tcPr>
            <w:tcW w:w="1248"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0%</w:t>
            </w:r>
          </w:p>
        </w:tc>
        <w:tc>
          <w:tcPr>
            <w:tcW w:w="1030"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100%</w:t>
            </w:r>
          </w:p>
        </w:tc>
      </w:tr>
      <w:tr w:rsidR="00042617" w:rsidRPr="00D15774" w:rsidTr="006E2C18">
        <w:trPr>
          <w:trHeight w:hRule="exact" w:val="144"/>
          <w:jc w:val="center"/>
        </w:trPr>
        <w:tc>
          <w:tcPr>
            <w:tcW w:w="162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p>
        </w:tc>
        <w:tc>
          <w:tcPr>
            <w:tcW w:w="121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p>
        </w:tc>
        <w:tc>
          <w:tcPr>
            <w:tcW w:w="78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p>
        </w:tc>
        <w:tc>
          <w:tcPr>
            <w:tcW w:w="145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p>
        </w:tc>
        <w:tc>
          <w:tcPr>
            <w:tcW w:w="1092"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p>
        </w:tc>
        <w:tc>
          <w:tcPr>
            <w:tcW w:w="124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p>
        </w:tc>
        <w:tc>
          <w:tcPr>
            <w:tcW w:w="93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p>
        </w:tc>
        <w:tc>
          <w:tcPr>
            <w:tcW w:w="124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p>
        </w:tc>
        <w:tc>
          <w:tcPr>
            <w:tcW w:w="103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p>
        </w:tc>
      </w:tr>
      <w:tr w:rsidR="00042617" w:rsidRPr="00D15774" w:rsidTr="006E2C18">
        <w:trPr>
          <w:trHeight w:val="254"/>
          <w:jc w:val="center"/>
        </w:trPr>
        <w:tc>
          <w:tcPr>
            <w:tcW w:w="1621"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Total Tribal</w:t>
            </w:r>
          </w:p>
        </w:tc>
        <w:tc>
          <w:tcPr>
            <w:tcW w:w="1217"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4,184</w:t>
            </w:r>
          </w:p>
        </w:tc>
        <w:tc>
          <w:tcPr>
            <w:tcW w:w="780"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213</w:t>
            </w:r>
          </w:p>
        </w:tc>
        <w:tc>
          <w:tcPr>
            <w:tcW w:w="1451"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43</w:t>
            </w:r>
          </w:p>
        </w:tc>
        <w:tc>
          <w:tcPr>
            <w:tcW w:w="1092"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406</w:t>
            </w:r>
          </w:p>
        </w:tc>
        <w:tc>
          <w:tcPr>
            <w:tcW w:w="1248"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3</w:t>
            </w:r>
          </w:p>
        </w:tc>
        <w:tc>
          <w:tcPr>
            <w:tcW w:w="93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2</w:t>
            </w:r>
          </w:p>
        </w:tc>
        <w:tc>
          <w:tcPr>
            <w:tcW w:w="1248"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11</w:t>
            </w:r>
          </w:p>
        </w:tc>
        <w:tc>
          <w:tcPr>
            <w:tcW w:w="1030"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4,862</w:t>
            </w:r>
          </w:p>
        </w:tc>
      </w:tr>
      <w:tr w:rsidR="00042617" w:rsidRPr="00D15774" w:rsidTr="006E2C18">
        <w:trPr>
          <w:trHeight w:val="254"/>
          <w:jc w:val="center"/>
        </w:trPr>
        <w:tc>
          <w:tcPr>
            <w:tcW w:w="1621"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Total Non-Tribal</w:t>
            </w:r>
          </w:p>
        </w:tc>
        <w:tc>
          <w:tcPr>
            <w:tcW w:w="1217"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763</w:t>
            </w:r>
          </w:p>
        </w:tc>
        <w:tc>
          <w:tcPr>
            <w:tcW w:w="780"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12</w:t>
            </w:r>
          </w:p>
        </w:tc>
        <w:tc>
          <w:tcPr>
            <w:tcW w:w="1451"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6</w:t>
            </w:r>
          </w:p>
        </w:tc>
        <w:tc>
          <w:tcPr>
            <w:tcW w:w="1092"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56</w:t>
            </w:r>
          </w:p>
        </w:tc>
        <w:tc>
          <w:tcPr>
            <w:tcW w:w="1248"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w:t>
            </w:r>
          </w:p>
        </w:tc>
        <w:tc>
          <w:tcPr>
            <w:tcW w:w="93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0</w:t>
            </w:r>
          </w:p>
        </w:tc>
        <w:tc>
          <w:tcPr>
            <w:tcW w:w="1248"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w:t>
            </w:r>
          </w:p>
        </w:tc>
        <w:tc>
          <w:tcPr>
            <w:tcW w:w="1030"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839</w:t>
            </w:r>
          </w:p>
        </w:tc>
      </w:tr>
    </w:tbl>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In the North San Juan compressors (87%) and miscellaneous engines (1%) make up an overwhelming 88% majority of the NOx emissions, distantly followed by 8% from heaters/boilers and 4% from drill rigs.</w:t>
      </w: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2F6C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NOx is not covered by the new federal NSPS Subpart OOOO, therefore these emission rates should not be affected by that action.  </w:t>
      </w:r>
      <w:r w:rsidR="00042617" w:rsidRPr="00D15774">
        <w:t>Most of the NOx emissions in the North San Juan Basin are on Indian Lands</w:t>
      </w:r>
      <w:r w:rsidR="00F925ED" w:rsidRPr="00D15774">
        <w:t>, however</w:t>
      </w:r>
      <w:r w:rsidR="006B4732" w:rsidRPr="00D15774">
        <w:t xml:space="preserve">.  </w:t>
      </w:r>
      <w:r w:rsidR="00C0085C" w:rsidRPr="00D15774">
        <w:t>Regarding the “Permitting of Minor Sources on Indian Lands” regulation, a</w:t>
      </w:r>
      <w:r w:rsidR="006B4732" w:rsidRPr="00D15774">
        <w:t xml:space="preserve">lthough new sources will have lower emissions from previously unpermitted small sources like field compressors, artificial lift engines and heaters than previously projected due to </w:t>
      </w:r>
      <w:r w:rsidR="00956808" w:rsidRPr="00D15774">
        <w:t>federal</w:t>
      </w:r>
      <w:r w:rsidR="00042617" w:rsidRPr="00D15774">
        <w:t xml:space="preserve"> </w:t>
      </w:r>
      <w:r w:rsidR="00C0085C" w:rsidRPr="00D15774">
        <w:t>permitting</w:t>
      </w:r>
      <w:r w:rsidR="0003161E" w:rsidRPr="00D15774">
        <w:t xml:space="preserve"> review</w:t>
      </w:r>
      <w:r w:rsidR="006B4732" w:rsidRPr="00D15774">
        <w:t xml:space="preserve">, there will </w:t>
      </w:r>
      <w:r w:rsidR="00C0085C" w:rsidRPr="00D15774">
        <w:t xml:space="preserve">also </w:t>
      </w:r>
      <w:r w:rsidR="00042617" w:rsidRPr="00D15774">
        <w:t xml:space="preserve">be a number of existing sources that </w:t>
      </w:r>
      <w:r w:rsidR="006B4732" w:rsidRPr="00D15774">
        <w:t>we</w:t>
      </w:r>
      <w:r w:rsidR="004405C4" w:rsidRPr="00D15774">
        <w:t>re never reported in the past</w:t>
      </w:r>
      <w:r w:rsidR="00E13370" w:rsidRPr="00D15774">
        <w:t>.  T</w:t>
      </w:r>
      <w:r w:rsidR="006B4732" w:rsidRPr="00D15774">
        <w:t>he</w:t>
      </w:r>
      <w:r w:rsidR="00E13370" w:rsidRPr="00D15774">
        <w:t>se</w:t>
      </w:r>
      <w:r w:rsidR="006B4732" w:rsidRPr="00D15774">
        <w:t xml:space="preserve"> </w:t>
      </w:r>
      <w:r w:rsidR="00E13370" w:rsidRPr="00D15774">
        <w:t xml:space="preserve">newly captured sources will now be included in emission inventories due to </w:t>
      </w:r>
      <w:r w:rsidR="006B4732" w:rsidRPr="00D15774">
        <w:t>federal reporting requirements</w:t>
      </w:r>
      <w:r w:rsidR="00042617" w:rsidRPr="00D15774">
        <w:t xml:space="preserve">.  Thus we may </w:t>
      </w:r>
      <w:r w:rsidR="005631F1" w:rsidRPr="00D15774">
        <w:t xml:space="preserve">actually </w:t>
      </w:r>
      <w:r w:rsidR="00042617" w:rsidRPr="00D15774">
        <w:t>see some increased</w:t>
      </w:r>
      <w:r w:rsidR="007F7501" w:rsidRPr="00D15774">
        <w:t xml:space="preserve"> NOx</w:t>
      </w:r>
      <w:r w:rsidR="00042617" w:rsidRPr="00D15774">
        <w:t xml:space="preserve"> emissions show up on </w:t>
      </w:r>
      <w:r w:rsidR="00765567" w:rsidRPr="00D15774">
        <w:t>Tribal Lands</w:t>
      </w:r>
      <w:r w:rsidR="007F7501" w:rsidRPr="00D15774">
        <w:t xml:space="preserve"> in the North San Juan Basin</w:t>
      </w:r>
      <w:r w:rsidR="00042617" w:rsidRPr="00D15774">
        <w:t xml:space="preserve"> </w:t>
      </w:r>
      <w:r w:rsidR="00C0085C" w:rsidRPr="00D15774">
        <w:t>in future emission inventories</w:t>
      </w:r>
      <w:r w:rsidR="006F7CB5" w:rsidRPr="00D15774">
        <w:t xml:space="preserve"> due to this permitting regulation.</w:t>
      </w:r>
    </w:p>
    <w:p w:rsidR="002F6CAE" w:rsidRPr="00D15774" w:rsidRDefault="002F6C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2F6CAE" w:rsidRPr="00D15774" w:rsidRDefault="002F6CAE" w:rsidP="002F6C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rPr>
          <w:szCs w:val="24"/>
          <w:lang w:val="en-CA"/>
        </w:rPr>
        <w:t>Regarding the 4% of NOx from Nonroad Mobile drill rig engines, the federal</w:t>
      </w:r>
      <w:r w:rsidRPr="00D15774">
        <w:rPr>
          <w:color w:val="000000"/>
          <w:szCs w:val="24"/>
        </w:rPr>
        <w:t xml:space="preserve"> Tier Standards take precedence and should be already accounted for in this inventory.  But Colorado </w:t>
      </w:r>
      <w:r w:rsidRPr="00D15774">
        <w:rPr>
          <w:szCs w:val="24"/>
          <w:lang w:val="en-CA"/>
        </w:rPr>
        <w:fldChar w:fldCharType="begin"/>
      </w:r>
      <w:r w:rsidRPr="00D15774">
        <w:rPr>
          <w:szCs w:val="24"/>
          <w:lang w:val="en-CA"/>
        </w:rPr>
        <w:instrText xml:space="preserve"> SEQ CHAPTER \h \r 1</w:instrText>
      </w:r>
      <w:r w:rsidRPr="00D15774">
        <w:rPr>
          <w:szCs w:val="24"/>
          <w:lang w:val="en-CA"/>
        </w:rPr>
        <w:fldChar w:fldCharType="end"/>
      </w:r>
      <w:r w:rsidRPr="00D15774">
        <w:rPr>
          <w:bCs/>
          <w:color w:val="000000"/>
          <w:szCs w:val="24"/>
        </w:rPr>
        <w:t xml:space="preserve">Regulation 3 Part A, I.B.31 may affect some temporary </w:t>
      </w:r>
      <w:r w:rsidRPr="00D15774">
        <w:rPr>
          <w:color w:val="000000"/>
          <w:szCs w:val="24"/>
        </w:rPr>
        <w:t>engines &gt;1200 HP in size with restricted emissions in order to meet ambient air quality standards.</w:t>
      </w: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A04C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Table 1</w:t>
      </w:r>
      <w:r w:rsidR="00416BE9" w:rsidRPr="00D15774">
        <w:t>2</w:t>
      </w:r>
      <w:r w:rsidR="00042617" w:rsidRPr="00D15774">
        <w:t xml:space="preserve"> contains a listing of the North San Juan Basin VOC emissions from </w:t>
      </w:r>
      <w:r w:rsidR="0099797E" w:rsidRPr="00D15774">
        <w:t>ENVIRON</w:t>
      </w:r>
      <w:r w:rsidR="00042617" w:rsidRPr="00D15774">
        <w:t>’s above cited September 1, 2009 Technical Memo.</w:t>
      </w: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C47C14" w:rsidRDefault="00A04C7D" w:rsidP="00C47C14">
      <w:pPr>
        <w:pStyle w:val="Heading4"/>
        <w:jc w:val="center"/>
        <w:rPr>
          <w:rFonts w:ascii="Times New Roman" w:hAnsi="Times New Roman" w:cs="Times New Roman"/>
          <w:i w:val="0"/>
          <w:color w:val="auto"/>
        </w:rPr>
      </w:pPr>
      <w:bookmarkStart w:id="98" w:name="_Toc369087028"/>
      <w:r w:rsidRPr="00C47C14">
        <w:rPr>
          <w:rFonts w:ascii="Times New Roman" w:hAnsi="Times New Roman" w:cs="Times New Roman"/>
          <w:i w:val="0"/>
          <w:color w:val="auto"/>
        </w:rPr>
        <w:lastRenderedPageBreak/>
        <w:t>Table 1</w:t>
      </w:r>
      <w:r w:rsidR="00416BE9" w:rsidRPr="00C47C14">
        <w:rPr>
          <w:rFonts w:ascii="Times New Roman" w:hAnsi="Times New Roman" w:cs="Times New Roman"/>
          <w:i w:val="0"/>
          <w:color w:val="auto"/>
        </w:rPr>
        <w:t>2</w:t>
      </w:r>
      <w:r w:rsidR="00042617" w:rsidRPr="00C47C14">
        <w:rPr>
          <w:rFonts w:ascii="Times New Roman" w:hAnsi="Times New Roman" w:cs="Times New Roman"/>
          <w:i w:val="0"/>
          <w:color w:val="auto"/>
        </w:rPr>
        <w:t>: North San Juan Basin 2006 VOC Emission Sources (</w:t>
      </w:r>
      <w:r w:rsidR="0059687A" w:rsidRPr="00C47C14">
        <w:rPr>
          <w:rFonts w:ascii="Times New Roman" w:hAnsi="Times New Roman" w:cs="Times New Roman"/>
          <w:i w:val="0"/>
          <w:color w:val="auto"/>
        </w:rPr>
        <w:t>tpy</w:t>
      </w:r>
      <w:r w:rsidR="00042617" w:rsidRPr="00C47C14">
        <w:rPr>
          <w:rFonts w:ascii="Times New Roman" w:hAnsi="Times New Roman" w:cs="Times New Roman"/>
          <w:i w:val="0"/>
          <w:color w:val="auto"/>
        </w:rPr>
        <w:t>)</w:t>
      </w:r>
      <w:bookmarkEnd w:id="98"/>
      <w:r w:rsidR="00E21C92" w:rsidRPr="00C47C14">
        <w:rPr>
          <w:rFonts w:ascii="Times New Roman" w:hAnsi="Times New Roman" w:cs="Times New Roman"/>
          <w:i w:val="0"/>
          <w:color w:val="auto"/>
        </w:rPr>
        <w:fldChar w:fldCharType="begin"/>
      </w:r>
      <w:r w:rsidR="00042617" w:rsidRPr="00C47C14">
        <w:rPr>
          <w:rFonts w:ascii="Times New Roman" w:hAnsi="Times New Roman" w:cs="Times New Roman"/>
          <w:i w:val="0"/>
          <w:color w:val="auto"/>
        </w:rPr>
        <w:instrText xml:space="preserve"> TC \l4 "</w:instrText>
      </w:r>
      <w:bookmarkStart w:id="99" w:name="_Toc363192352"/>
      <w:r w:rsidR="00042617" w:rsidRPr="00C47C14">
        <w:rPr>
          <w:rFonts w:ascii="Times New Roman" w:hAnsi="Times New Roman" w:cs="Times New Roman"/>
          <w:i w:val="0"/>
          <w:color w:val="auto"/>
        </w:rPr>
        <w:instrText>Table 10: North San Juan Basin 2006 VOC Emission Sources (TPY)</w:instrText>
      </w:r>
      <w:bookmarkEnd w:id="99"/>
      <w:r w:rsidR="00E21C92" w:rsidRPr="00C47C14">
        <w:rPr>
          <w:rFonts w:ascii="Times New Roman" w:hAnsi="Times New Roman" w:cs="Times New Roman"/>
          <w:i w:val="0"/>
          <w:color w:val="auto"/>
        </w:rPr>
        <w:fldChar w:fldCharType="end"/>
      </w:r>
    </w:p>
    <w:tbl>
      <w:tblPr>
        <w:tblW w:w="11520" w:type="dxa"/>
        <w:jc w:val="center"/>
        <w:tblBorders>
          <w:top w:val="nil"/>
          <w:left w:val="nil"/>
          <w:bottom w:val="nil"/>
          <w:right w:val="nil"/>
          <w:insideH w:val="nil"/>
          <w:insideV w:val="nil"/>
        </w:tblBorders>
        <w:tblLayout w:type="fixed"/>
        <w:tblCellMar>
          <w:left w:w="79" w:type="dxa"/>
          <w:right w:w="79" w:type="dxa"/>
        </w:tblCellMar>
        <w:tblLook w:val="0000" w:firstRow="0" w:lastRow="0" w:firstColumn="0" w:lastColumn="0" w:noHBand="0" w:noVBand="0"/>
      </w:tblPr>
      <w:tblGrid>
        <w:gridCol w:w="1762"/>
        <w:gridCol w:w="1201"/>
        <w:gridCol w:w="874"/>
        <w:gridCol w:w="1326"/>
        <w:gridCol w:w="1092"/>
        <w:gridCol w:w="1232"/>
        <w:gridCol w:w="1030"/>
        <w:gridCol w:w="1076"/>
        <w:gridCol w:w="1109"/>
        <w:gridCol w:w="818"/>
      </w:tblGrid>
      <w:tr w:rsidR="00042617" w:rsidRPr="00D15774" w:rsidTr="006E2C18">
        <w:trPr>
          <w:trHeight w:val="254"/>
          <w:jc w:val="center"/>
        </w:trPr>
        <w:tc>
          <w:tcPr>
            <w:tcW w:w="1762"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p>
        </w:tc>
        <w:tc>
          <w:tcPr>
            <w:tcW w:w="1201"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b/>
                <w:sz w:val="20"/>
              </w:rPr>
            </w:pPr>
            <w:r w:rsidRPr="00D15774">
              <w:rPr>
                <w:sz w:val="20"/>
              </w:rPr>
              <w:t>Compressor Engines</w:t>
            </w:r>
          </w:p>
        </w:tc>
        <w:tc>
          <w:tcPr>
            <w:tcW w:w="874"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b/>
                <w:sz w:val="20"/>
              </w:rPr>
            </w:pPr>
            <w:r w:rsidRPr="00D15774">
              <w:rPr>
                <w:sz w:val="20"/>
              </w:rPr>
              <w:t>Drill Rigs</w:t>
            </w:r>
          </w:p>
        </w:tc>
        <w:tc>
          <w:tcPr>
            <w:tcW w:w="1326"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b/>
                <w:sz w:val="20"/>
              </w:rPr>
            </w:pPr>
            <w:r w:rsidRPr="00D15774">
              <w:rPr>
                <w:sz w:val="20"/>
              </w:rPr>
              <w:t>Miscellaneous Engines</w:t>
            </w:r>
          </w:p>
        </w:tc>
        <w:tc>
          <w:tcPr>
            <w:tcW w:w="1092"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Heaters/</w:t>
            </w:r>
          </w:p>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b/>
                <w:sz w:val="20"/>
              </w:rPr>
            </w:pPr>
            <w:r w:rsidRPr="00D15774">
              <w:rPr>
                <w:sz w:val="20"/>
              </w:rPr>
              <w:t>Boilers</w:t>
            </w:r>
          </w:p>
        </w:tc>
        <w:tc>
          <w:tcPr>
            <w:tcW w:w="1232"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b/>
                <w:sz w:val="20"/>
              </w:rPr>
            </w:pPr>
            <w:r w:rsidRPr="00D15774">
              <w:rPr>
                <w:sz w:val="20"/>
              </w:rPr>
              <w:t>Dehydrators</w:t>
            </w:r>
          </w:p>
        </w:tc>
        <w:tc>
          <w:tcPr>
            <w:tcW w:w="1030"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b/>
                <w:sz w:val="20"/>
              </w:rPr>
            </w:pPr>
            <w:r w:rsidRPr="00D15774">
              <w:rPr>
                <w:sz w:val="20"/>
              </w:rPr>
              <w:t>Oil Tanks</w:t>
            </w:r>
          </w:p>
        </w:tc>
        <w:tc>
          <w:tcPr>
            <w:tcW w:w="1076"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Flaring</w:t>
            </w:r>
          </w:p>
        </w:tc>
        <w:tc>
          <w:tcPr>
            <w:tcW w:w="1109"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b/>
                <w:sz w:val="20"/>
              </w:rPr>
            </w:pPr>
            <w:r w:rsidRPr="00D15774">
              <w:rPr>
                <w:sz w:val="20"/>
              </w:rPr>
              <w:t>Other Categories</w:t>
            </w:r>
          </w:p>
        </w:tc>
        <w:tc>
          <w:tcPr>
            <w:tcW w:w="818"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620E70" w:rsidRPr="00D15774" w:rsidRDefault="00620E7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b/>
                <w:sz w:val="20"/>
              </w:rPr>
            </w:pPr>
            <w:r w:rsidRPr="00D15774">
              <w:rPr>
                <w:b/>
                <w:sz w:val="20"/>
              </w:rPr>
              <w:t>Grand</w:t>
            </w:r>
          </w:p>
          <w:p w:rsidR="00042617" w:rsidRPr="00D15774" w:rsidRDefault="00042617" w:rsidP="00620E7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b/>
                <w:sz w:val="20"/>
              </w:rPr>
              <w:t>Total</w:t>
            </w:r>
          </w:p>
        </w:tc>
      </w:tr>
      <w:tr w:rsidR="00042617" w:rsidRPr="00D15774" w:rsidTr="006E2C18">
        <w:trPr>
          <w:trHeight w:val="254"/>
          <w:jc w:val="center"/>
        </w:trPr>
        <w:tc>
          <w:tcPr>
            <w:tcW w:w="1762" w:type="dxa"/>
            <w:tcBorders>
              <w:top w:val="single" w:sz="10" w:space="0" w:color="000000"/>
              <w:left w:val="single" w:sz="10" w:space="0" w:color="000000"/>
              <w:bottom w:val="single" w:sz="10" w:space="0" w:color="000000"/>
              <w:right w:val="single" w:sz="10" w:space="0" w:color="000000"/>
            </w:tcBorders>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Totals</w:t>
            </w:r>
          </w:p>
        </w:tc>
        <w:tc>
          <w:tcPr>
            <w:tcW w:w="1201"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1,886</w:t>
            </w:r>
          </w:p>
        </w:tc>
        <w:tc>
          <w:tcPr>
            <w:tcW w:w="874"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18</w:t>
            </w:r>
          </w:p>
        </w:tc>
        <w:tc>
          <w:tcPr>
            <w:tcW w:w="1326"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6</w:t>
            </w:r>
          </w:p>
        </w:tc>
        <w:tc>
          <w:tcPr>
            <w:tcW w:w="1092"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17</w:t>
            </w:r>
          </w:p>
        </w:tc>
        <w:tc>
          <w:tcPr>
            <w:tcW w:w="1232"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14</w:t>
            </w:r>
          </w:p>
        </w:tc>
        <w:tc>
          <w:tcPr>
            <w:tcW w:w="1030"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165</w:t>
            </w:r>
          </w:p>
        </w:tc>
        <w:tc>
          <w:tcPr>
            <w:tcW w:w="1076"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5</w:t>
            </w:r>
          </w:p>
        </w:tc>
        <w:tc>
          <w:tcPr>
            <w:tcW w:w="1109"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36</w:t>
            </w:r>
          </w:p>
        </w:tc>
        <w:tc>
          <w:tcPr>
            <w:tcW w:w="818"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2,147</w:t>
            </w:r>
          </w:p>
        </w:tc>
      </w:tr>
      <w:tr w:rsidR="00042617" w:rsidRPr="00D15774" w:rsidTr="006E2C18">
        <w:trPr>
          <w:trHeight w:val="254"/>
          <w:jc w:val="center"/>
        </w:trPr>
        <w:tc>
          <w:tcPr>
            <w:tcW w:w="1762" w:type="dxa"/>
            <w:tcBorders>
              <w:top w:val="single" w:sz="10" w:space="0" w:color="000000"/>
              <w:left w:val="single" w:sz="10" w:space="0" w:color="000000"/>
              <w:bottom w:val="single" w:sz="10" w:space="0" w:color="000000"/>
              <w:right w:val="single" w:sz="10" w:space="0" w:color="000000"/>
            </w:tcBorders>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Percent of Total</w:t>
            </w:r>
          </w:p>
        </w:tc>
        <w:tc>
          <w:tcPr>
            <w:tcW w:w="1201"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88%</w:t>
            </w:r>
          </w:p>
        </w:tc>
        <w:tc>
          <w:tcPr>
            <w:tcW w:w="874"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w:t>
            </w:r>
          </w:p>
        </w:tc>
        <w:tc>
          <w:tcPr>
            <w:tcW w:w="1326"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0%</w:t>
            </w:r>
          </w:p>
        </w:tc>
        <w:tc>
          <w:tcPr>
            <w:tcW w:w="1092"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w:t>
            </w:r>
          </w:p>
        </w:tc>
        <w:tc>
          <w:tcPr>
            <w:tcW w:w="1232"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w:t>
            </w:r>
          </w:p>
        </w:tc>
        <w:tc>
          <w:tcPr>
            <w:tcW w:w="1030"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8%</w:t>
            </w:r>
          </w:p>
        </w:tc>
        <w:tc>
          <w:tcPr>
            <w:tcW w:w="1076"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0%</w:t>
            </w:r>
          </w:p>
        </w:tc>
        <w:tc>
          <w:tcPr>
            <w:tcW w:w="1109"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2%</w:t>
            </w:r>
          </w:p>
        </w:tc>
        <w:tc>
          <w:tcPr>
            <w:tcW w:w="818"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100%</w:t>
            </w:r>
          </w:p>
        </w:tc>
      </w:tr>
      <w:tr w:rsidR="00042617" w:rsidRPr="00D15774" w:rsidTr="006E2C18">
        <w:trPr>
          <w:trHeight w:hRule="exact" w:val="144"/>
          <w:jc w:val="center"/>
        </w:trPr>
        <w:tc>
          <w:tcPr>
            <w:tcW w:w="1762"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p>
        </w:tc>
        <w:tc>
          <w:tcPr>
            <w:tcW w:w="120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p>
        </w:tc>
        <w:tc>
          <w:tcPr>
            <w:tcW w:w="874"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p>
        </w:tc>
        <w:tc>
          <w:tcPr>
            <w:tcW w:w="132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p>
        </w:tc>
        <w:tc>
          <w:tcPr>
            <w:tcW w:w="1092"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p>
        </w:tc>
        <w:tc>
          <w:tcPr>
            <w:tcW w:w="1232"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p>
        </w:tc>
        <w:tc>
          <w:tcPr>
            <w:tcW w:w="103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p>
        </w:tc>
        <w:tc>
          <w:tcPr>
            <w:tcW w:w="107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p>
        </w:tc>
        <w:tc>
          <w:tcPr>
            <w:tcW w:w="1109"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p>
        </w:tc>
        <w:tc>
          <w:tcPr>
            <w:tcW w:w="81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p>
        </w:tc>
      </w:tr>
      <w:tr w:rsidR="00042617" w:rsidRPr="00D15774" w:rsidTr="006E2C18">
        <w:trPr>
          <w:trHeight w:val="254"/>
          <w:jc w:val="center"/>
        </w:trPr>
        <w:tc>
          <w:tcPr>
            <w:tcW w:w="1762" w:type="dxa"/>
            <w:tcBorders>
              <w:top w:val="single" w:sz="10" w:space="0" w:color="000000"/>
              <w:left w:val="single" w:sz="10" w:space="0" w:color="000000"/>
              <w:bottom w:val="single" w:sz="10" w:space="0" w:color="000000"/>
              <w:right w:val="single" w:sz="10" w:space="0" w:color="000000"/>
            </w:tcBorders>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Total Tribal</w:t>
            </w:r>
          </w:p>
        </w:tc>
        <w:tc>
          <w:tcPr>
            <w:tcW w:w="1201"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1,830</w:t>
            </w:r>
          </w:p>
        </w:tc>
        <w:tc>
          <w:tcPr>
            <w:tcW w:w="874"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18</w:t>
            </w:r>
          </w:p>
        </w:tc>
        <w:tc>
          <w:tcPr>
            <w:tcW w:w="1326"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5</w:t>
            </w:r>
          </w:p>
        </w:tc>
        <w:tc>
          <w:tcPr>
            <w:tcW w:w="1092"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15</w:t>
            </w:r>
          </w:p>
        </w:tc>
        <w:tc>
          <w:tcPr>
            <w:tcW w:w="1232"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12</w:t>
            </w:r>
          </w:p>
        </w:tc>
        <w:tc>
          <w:tcPr>
            <w:tcW w:w="1030"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151</w:t>
            </w:r>
          </w:p>
        </w:tc>
        <w:tc>
          <w:tcPr>
            <w:tcW w:w="1076" w:type="dxa"/>
            <w:tcBorders>
              <w:top w:val="single" w:sz="10" w:space="0" w:color="000000"/>
              <w:left w:val="single" w:sz="10" w:space="0" w:color="000000"/>
              <w:bottom w:val="single" w:sz="10" w:space="0" w:color="000000"/>
              <w:right w:val="single" w:sz="10" w:space="0" w:color="000000"/>
            </w:tcBorders>
            <w:tcMar>
              <w:left w:w="0" w:type="dxa"/>
              <w:right w:w="144" w:type="dxa"/>
            </w:tcMar>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5</w:t>
            </w:r>
          </w:p>
        </w:tc>
        <w:tc>
          <w:tcPr>
            <w:tcW w:w="1109"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29</w:t>
            </w:r>
          </w:p>
        </w:tc>
        <w:tc>
          <w:tcPr>
            <w:tcW w:w="818"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2,064</w:t>
            </w:r>
          </w:p>
        </w:tc>
      </w:tr>
      <w:tr w:rsidR="00042617" w:rsidRPr="00D15774" w:rsidTr="006E2C18">
        <w:trPr>
          <w:trHeight w:val="254"/>
          <w:jc w:val="center"/>
        </w:trPr>
        <w:tc>
          <w:tcPr>
            <w:tcW w:w="1762" w:type="dxa"/>
            <w:tcBorders>
              <w:top w:val="single" w:sz="10" w:space="0" w:color="000000"/>
              <w:left w:val="single" w:sz="10" w:space="0" w:color="000000"/>
              <w:bottom w:val="single" w:sz="10" w:space="0" w:color="000000"/>
              <w:right w:val="single" w:sz="10" w:space="0" w:color="000000"/>
            </w:tcBorders>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Total Non-Tribal</w:t>
            </w:r>
          </w:p>
        </w:tc>
        <w:tc>
          <w:tcPr>
            <w:tcW w:w="1201"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56</w:t>
            </w:r>
          </w:p>
        </w:tc>
        <w:tc>
          <w:tcPr>
            <w:tcW w:w="874"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w:t>
            </w:r>
          </w:p>
        </w:tc>
        <w:tc>
          <w:tcPr>
            <w:tcW w:w="1326"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w:t>
            </w:r>
          </w:p>
        </w:tc>
        <w:tc>
          <w:tcPr>
            <w:tcW w:w="1092"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2</w:t>
            </w:r>
          </w:p>
        </w:tc>
        <w:tc>
          <w:tcPr>
            <w:tcW w:w="1232"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2</w:t>
            </w:r>
          </w:p>
        </w:tc>
        <w:tc>
          <w:tcPr>
            <w:tcW w:w="1030"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14</w:t>
            </w:r>
          </w:p>
        </w:tc>
        <w:tc>
          <w:tcPr>
            <w:tcW w:w="1076" w:type="dxa"/>
            <w:tcBorders>
              <w:top w:val="single" w:sz="10" w:space="0" w:color="000000"/>
              <w:left w:val="single" w:sz="10" w:space="0" w:color="000000"/>
              <w:bottom w:val="single" w:sz="10" w:space="0" w:color="000000"/>
              <w:right w:val="single" w:sz="10" w:space="0" w:color="000000"/>
            </w:tcBorders>
            <w:tcMar>
              <w:left w:w="0" w:type="dxa"/>
              <w:right w:w="144" w:type="dxa"/>
            </w:tcMar>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0</w:t>
            </w:r>
          </w:p>
        </w:tc>
        <w:tc>
          <w:tcPr>
            <w:tcW w:w="1109"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7</w:t>
            </w:r>
          </w:p>
        </w:tc>
        <w:tc>
          <w:tcPr>
            <w:tcW w:w="818"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83</w:t>
            </w:r>
          </w:p>
        </w:tc>
      </w:tr>
    </w:tbl>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As with NOx, compressors </w:t>
      </w:r>
      <w:r w:rsidR="007B4767" w:rsidRPr="00D15774">
        <w:t>are responsible</w:t>
      </w:r>
      <w:r w:rsidRPr="00D15774">
        <w:t xml:space="preserve"> an overwhelming 88% majority of the VOC emissions the North San Juan, distantly followed by 8% from oil tanks.</w:t>
      </w: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F925ED" w:rsidP="00F925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pPr>
      <w:r w:rsidRPr="00D15774">
        <w:rPr>
          <w:rStyle w:val="FigureChar"/>
          <w:rFonts w:ascii="Times New Roman" w:hAnsi="Times New Roman"/>
          <w:b w:val="0"/>
          <w:sz w:val="24"/>
        </w:rPr>
        <w:t xml:space="preserve">Regarding </w:t>
      </w:r>
      <w:r w:rsidR="006E24A5" w:rsidRPr="00D15774">
        <w:rPr>
          <w:rStyle w:val="FigureChar"/>
          <w:rFonts w:ascii="Times New Roman" w:hAnsi="Times New Roman"/>
          <w:b w:val="0"/>
          <w:sz w:val="24"/>
        </w:rPr>
        <w:t>compressors</w:t>
      </w:r>
      <w:r w:rsidRPr="00D15774">
        <w:rPr>
          <w:rStyle w:val="FigureChar"/>
          <w:rFonts w:ascii="Times New Roman" w:hAnsi="Times New Roman"/>
          <w:b w:val="0"/>
          <w:sz w:val="24"/>
        </w:rPr>
        <w:t xml:space="preserve"> NSPS Subpart OOOO addresses VOC emissions, mandating 95% control of centrifugal units that have a wet seal system, and a maintenance schedule to replace rod packing every 26,000 hours (or 3 months) for reciprocating engines.  </w:t>
      </w:r>
      <w:r w:rsidRPr="00D15774">
        <w:t xml:space="preserve">The State of Colorado has no equivalent measures for minimizing compressor fugitive emissions, so Subpart OOOO </w:t>
      </w:r>
      <w:r w:rsidR="007F5232" w:rsidRPr="00D15774">
        <w:t xml:space="preserve">compressor rules </w:t>
      </w:r>
      <w:r w:rsidRPr="00D15774">
        <w:t xml:space="preserve">will lower VOC emissions </w:t>
      </w:r>
      <w:r w:rsidR="007B4767" w:rsidRPr="00D15774">
        <w:t xml:space="preserve">in future inventories </w:t>
      </w:r>
      <w:r w:rsidRPr="00D15774">
        <w:t>for non-tribal sources in the North San Juan Basin.</w:t>
      </w:r>
      <w:r w:rsidR="00042617" w:rsidRPr="00D15774">
        <w:t xml:space="preserve"> </w:t>
      </w: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042617" w:rsidP="00F925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pPr>
      <w:r w:rsidRPr="00D15774">
        <w:t xml:space="preserve">Also applicable to this basin, the </w:t>
      </w:r>
      <w:r w:rsidR="00F925ED" w:rsidRPr="00D15774">
        <w:rPr>
          <w:rStyle w:val="FigureChar"/>
          <w:rFonts w:ascii="Times New Roman" w:hAnsi="Times New Roman"/>
          <w:b w:val="0"/>
          <w:sz w:val="24"/>
        </w:rPr>
        <w:t xml:space="preserve">Subpart OOOO regulation requires condensate tanks </w:t>
      </w:r>
      <w:r w:rsidR="00F925ED" w:rsidRPr="00D15774">
        <w:t>constructed or modified after August 23, 2011, with 6 tpy of VOC of uncontrolled emissions</w:t>
      </w:r>
      <w:r w:rsidR="00F925ED" w:rsidRPr="00D15774">
        <w:rPr>
          <w:rStyle w:val="FigureChar"/>
          <w:rFonts w:ascii="Times New Roman" w:hAnsi="Times New Roman"/>
          <w:b w:val="0"/>
          <w:sz w:val="24"/>
        </w:rPr>
        <w:t xml:space="preserve"> to reduce VOC by 95%.  </w:t>
      </w:r>
      <w:r w:rsidR="00F925ED" w:rsidRPr="00D15774">
        <w:t xml:space="preserve"> </w:t>
      </w:r>
      <w:r w:rsidRPr="00D15774">
        <w:t xml:space="preserve">But as noted before the State of Colorado already requires 95% VOC reduction for tanks containing unstabilized condensate at gas processing plants if uncontrolled emissions are greater than or equal to 2 </w:t>
      </w:r>
      <w:r w:rsidR="0059687A" w:rsidRPr="00D15774">
        <w:t>tpy</w:t>
      </w:r>
      <w:r w:rsidRPr="00D15774">
        <w:t xml:space="preserve"> (Reg. 7, XII.G.2).  The 95% control applies for all hydrocarbon liquids (not just unstabilized condensate) if uncontrolled emissions are greater than or equal to 20 </w:t>
      </w:r>
      <w:r w:rsidR="0059687A" w:rsidRPr="00D15774">
        <w:t>tpy</w:t>
      </w:r>
      <w:r w:rsidRPr="00D15774">
        <w:t xml:space="preserve"> (Reg. 7, XVII.C.1).   Furthermore if the tanks are within 1/4 mile of an affected building (COGCC HB-07-1341, Section 805.b(2)A), the threshold for all hydrocarbon liquids is lowered to a level of uncontrolled emissions greater than or equal to 5 </w:t>
      </w:r>
      <w:r w:rsidR="0059687A" w:rsidRPr="00D15774">
        <w:t>tpy</w:t>
      </w:r>
      <w:r w:rsidRPr="00D15774">
        <w:t xml:space="preserve">.  There are other requirements for auto ignitors and surveillance at controlled locations based on emission level.  Thus the effect of Subpart OOOO </w:t>
      </w:r>
      <w:r w:rsidR="007F5232" w:rsidRPr="00D15774">
        <w:t xml:space="preserve">tank rules </w:t>
      </w:r>
      <w:r w:rsidRPr="00D15774">
        <w:t>will be minimized in the non tribal portion of the North San Juan Basin by existing Colorado regulations.</w:t>
      </w: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93120B" w:rsidRPr="00D15774" w:rsidRDefault="00042617" w:rsidP="009312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A vast majority of VOC emissions in the North </w:t>
      </w:r>
      <w:r w:rsidR="0093120B" w:rsidRPr="00D15774">
        <w:t xml:space="preserve">San Juan come from Indian Lands, therefore the new requirements for </w:t>
      </w:r>
      <w:r w:rsidR="006E24A5" w:rsidRPr="00D15774">
        <w:t>“Permitting of Minor S</w:t>
      </w:r>
      <w:r w:rsidR="0093120B" w:rsidRPr="00D15774">
        <w:t>ources on Indian Lands</w:t>
      </w:r>
      <w:r w:rsidR="006E24A5" w:rsidRPr="00D15774">
        <w:t>”</w:t>
      </w:r>
      <w:r w:rsidR="0093120B" w:rsidRPr="00D15774">
        <w:t xml:space="preserve">, will likely have </w:t>
      </w:r>
      <w:r w:rsidR="0003161E" w:rsidRPr="00D15774">
        <w:t>an</w:t>
      </w:r>
      <w:r w:rsidR="0093120B" w:rsidRPr="00D15774">
        <w:t xml:space="preserve"> effect </w:t>
      </w:r>
      <w:r w:rsidR="0003161E" w:rsidRPr="00D15774">
        <w:t>on</w:t>
      </w:r>
      <w:r w:rsidR="0093120B" w:rsidRPr="00D15774">
        <w:t xml:space="preserve"> VOC emission totals in this area on new sources in the future.  Although newly constructed sources like field compressors, artificial lift engines and heaters will have lower emissions than previously projected due to the federal </w:t>
      </w:r>
      <w:r w:rsidR="006E24A5" w:rsidRPr="00D15774">
        <w:t xml:space="preserve">permitting </w:t>
      </w:r>
      <w:r w:rsidR="0093120B" w:rsidRPr="00D15774">
        <w:t>re</w:t>
      </w:r>
      <w:r w:rsidR="00C0085C" w:rsidRPr="00D15774">
        <w:t>view</w:t>
      </w:r>
      <w:r w:rsidR="0093120B" w:rsidRPr="00D15774">
        <w:t xml:space="preserve">, there will </w:t>
      </w:r>
      <w:r w:rsidR="005631F1" w:rsidRPr="00D15774">
        <w:t xml:space="preserve">also </w:t>
      </w:r>
      <w:r w:rsidR="0093120B" w:rsidRPr="00D15774">
        <w:t>likely be a number of existing sources that were never reported in the past.  These newly captured sources will now be included in emission inventories due to reporting requirements</w:t>
      </w:r>
      <w:r w:rsidR="007F5232" w:rsidRPr="00D15774">
        <w:t xml:space="preserve"> in the federal permitting rule</w:t>
      </w:r>
      <w:r w:rsidR="0093120B" w:rsidRPr="00D15774">
        <w:t xml:space="preserve">.  Thus we may </w:t>
      </w:r>
      <w:r w:rsidR="005631F1" w:rsidRPr="00D15774">
        <w:t xml:space="preserve">actually </w:t>
      </w:r>
      <w:r w:rsidR="0093120B" w:rsidRPr="00D15774">
        <w:t xml:space="preserve">see some increased </w:t>
      </w:r>
      <w:r w:rsidR="007F5232" w:rsidRPr="00D15774">
        <w:t xml:space="preserve">VOC </w:t>
      </w:r>
      <w:r w:rsidR="0093120B" w:rsidRPr="00D15774">
        <w:t xml:space="preserve">emissions show up on </w:t>
      </w:r>
      <w:r w:rsidR="00765567" w:rsidRPr="00D15774">
        <w:t>Tribal Lands</w:t>
      </w:r>
      <w:r w:rsidR="0093120B" w:rsidRPr="00D15774">
        <w:t xml:space="preserve"> in the North San Juan basin in future emission inventories</w:t>
      </w:r>
      <w:r w:rsidR="003104F0" w:rsidRPr="00D15774">
        <w:t xml:space="preserve"> due to this permitting regulation.</w:t>
      </w:r>
    </w:p>
    <w:p w:rsidR="00620E70" w:rsidRPr="00D15774" w:rsidRDefault="00620E70">
      <w:r w:rsidRPr="00D15774">
        <w:br w:type="page"/>
      </w:r>
    </w:p>
    <w:p w:rsidR="00C16888" w:rsidRPr="00E47241" w:rsidRDefault="00042617" w:rsidP="00E1181C">
      <w:pPr>
        <w:pStyle w:val="Heading3"/>
        <w:rPr>
          <w:rFonts w:ascii="Times New Roman" w:hAnsi="Times New Roman" w:cs="Times New Roman"/>
          <w:color w:val="auto"/>
        </w:rPr>
      </w:pPr>
      <w:bookmarkStart w:id="100" w:name="_Toc369087029"/>
      <w:r w:rsidRPr="00E47241">
        <w:rPr>
          <w:rFonts w:ascii="Times New Roman" w:hAnsi="Times New Roman" w:cs="Times New Roman"/>
          <w:color w:val="auto"/>
        </w:rPr>
        <w:lastRenderedPageBreak/>
        <w:t>South San Juan Basin 2006 Emissions</w:t>
      </w:r>
      <w:bookmarkEnd w:id="100"/>
    </w:p>
    <w:p w:rsidR="00C16888" w:rsidRPr="00C47C14" w:rsidRDefault="00042617" w:rsidP="00C47C14">
      <w:pPr>
        <w:pStyle w:val="Heading4"/>
        <w:jc w:val="center"/>
        <w:rPr>
          <w:rFonts w:ascii="Times New Roman" w:hAnsi="Times New Roman" w:cs="Times New Roman"/>
          <w:i w:val="0"/>
        </w:rPr>
      </w:pPr>
      <w:bookmarkStart w:id="101" w:name="_Toc369087030"/>
      <w:r w:rsidRPr="00C47C14">
        <w:rPr>
          <w:rFonts w:ascii="Times New Roman" w:hAnsi="Times New Roman" w:cs="Times New Roman"/>
          <w:i w:val="0"/>
          <w:color w:val="auto"/>
        </w:rPr>
        <w:t>Figure 6: South San Juan Basin Boundaries Overlaid With 2006 O&amp;G Well Locations</w:t>
      </w:r>
      <w:bookmarkEnd w:id="101"/>
      <w:r w:rsidR="00F421CF" w:rsidRPr="00C47C14">
        <w:rPr>
          <w:rFonts w:ascii="Times New Roman" w:hAnsi="Times New Roman" w:cs="Times New Roman"/>
          <w:i w:val="0"/>
          <w:color w:val="auto"/>
        </w:rPr>
        <w:fldChar w:fldCharType="begin"/>
      </w:r>
      <w:r w:rsidR="00F421CF" w:rsidRPr="00C47C14">
        <w:rPr>
          <w:rFonts w:ascii="Times New Roman" w:hAnsi="Times New Roman" w:cs="Times New Roman"/>
          <w:i w:val="0"/>
          <w:color w:val="auto"/>
        </w:rPr>
        <w:instrText xml:space="preserve"> TC \l4 "Figure 6: South San Juan Basin Boundaries Overlaid With 2006 O&amp;G Well Locations</w:instrText>
      </w:r>
      <w:r w:rsidR="00F421CF" w:rsidRPr="00C47C14">
        <w:rPr>
          <w:rFonts w:ascii="Times New Roman" w:hAnsi="Times New Roman" w:cs="Times New Roman"/>
          <w:i w:val="0"/>
          <w:color w:val="auto"/>
        </w:rPr>
        <w:fldChar w:fldCharType="end"/>
      </w:r>
    </w:p>
    <w:p w:rsidR="00C144C1" w:rsidRPr="00D15774" w:rsidRDefault="00C144C1" w:rsidP="00C16888">
      <w:pPr>
        <w:tabs>
          <w:tab w:val="center" w:pos="4680"/>
        </w:tabs>
        <w:spacing w:line="300" w:lineRule="auto"/>
        <w:rPr>
          <w:u w:val="single"/>
        </w:rPr>
      </w:pPr>
      <w:r w:rsidRPr="00D15774">
        <w:rPr>
          <w:noProof/>
        </w:rPr>
        <w:drawing>
          <wp:inline distT="0" distB="0" distL="0" distR="0" wp14:anchorId="7BA027A4" wp14:editId="4A1DCA2B">
            <wp:extent cx="6315075" cy="65246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a:stretch>
                      <a:fillRect/>
                    </a:stretch>
                  </pic:blipFill>
                  <pic:spPr bwMode="auto">
                    <a:xfrm>
                      <a:off x="0" y="0"/>
                      <a:ext cx="6315075" cy="6524625"/>
                    </a:xfrm>
                    <a:prstGeom prst="rect">
                      <a:avLst/>
                    </a:prstGeom>
                    <a:noFill/>
                    <a:ln w="9525">
                      <a:noFill/>
                      <a:miter lim="800000"/>
                      <a:headEnd/>
                      <a:tailEnd/>
                    </a:ln>
                  </pic:spPr>
                </pic:pic>
              </a:graphicData>
            </a:graphic>
          </wp:inline>
        </w:drawing>
      </w:r>
    </w:p>
    <w:p w:rsidR="00620E70" w:rsidRPr="00D15774" w:rsidRDefault="00620E70">
      <w:r w:rsidRPr="00D15774">
        <w:br w:type="page"/>
      </w:r>
    </w:p>
    <w:p w:rsidR="00042617" w:rsidRPr="00D15774" w:rsidRDefault="00416B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lastRenderedPageBreak/>
        <w:t>Table 13</w:t>
      </w:r>
      <w:r w:rsidR="00042617" w:rsidRPr="00D15774">
        <w:t xml:space="preserve"> contains a listing of the South San Juan Basin NOx emissions from the </w:t>
      </w:r>
      <w:r w:rsidR="0099797E" w:rsidRPr="00D15774">
        <w:t>ENVIRON</w:t>
      </w:r>
      <w:r w:rsidR="00042617" w:rsidRPr="00D15774">
        <w:t>’s Novemb</w:t>
      </w:r>
      <w:r w:rsidR="00381C28" w:rsidRPr="00D15774">
        <w:t xml:space="preserve">er 25, 2009 </w:t>
      </w:r>
      <w:r w:rsidR="00042617" w:rsidRPr="00D15774">
        <w:t>Technical Memo, “DEVELOPMENT OF BASELINE 2006 EMISSIONS FROM OIL AND GAS ACTIVITY IN THE SOUTH SAN JUAN BASIN” located at:</w:t>
      </w: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645938" w:rsidP="007B4767">
      <w:pPr>
        <w:tabs>
          <w:tab w:val="center" w:pos="5760"/>
        </w:tabs>
        <w:spacing w:line="300" w:lineRule="auto"/>
        <w:ind w:left="-540" w:right="-360"/>
        <w:jc w:val="center"/>
        <w:rPr>
          <w:szCs w:val="24"/>
        </w:rPr>
      </w:pPr>
      <w:hyperlink r:id="rId45" w:history="1">
        <w:r w:rsidR="007E2062" w:rsidRPr="00D15774">
          <w:rPr>
            <w:rStyle w:val="Hyperlink"/>
            <w:sz w:val="24"/>
            <w:szCs w:val="24"/>
          </w:rPr>
          <w:t>http://www.wrapair.org/forums/ogwg/documents/SSanJuanBasin/2009-11y_06_Baseline_S_San_JuanBasin_Technical_Memo_11-25R.pdf</w:t>
        </w:r>
      </w:hyperlink>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C47C14" w:rsidRDefault="00042617" w:rsidP="00C47C14">
      <w:pPr>
        <w:pStyle w:val="Heading4"/>
        <w:jc w:val="center"/>
        <w:rPr>
          <w:rFonts w:ascii="Times New Roman" w:hAnsi="Times New Roman" w:cs="Times New Roman"/>
          <w:i w:val="0"/>
          <w:vanish/>
          <w:color w:val="auto"/>
        </w:rPr>
      </w:pPr>
      <w:bookmarkStart w:id="102" w:name="_Toc369087031"/>
      <w:r w:rsidRPr="00C47C14">
        <w:rPr>
          <w:rFonts w:ascii="Times New Roman" w:hAnsi="Times New Roman" w:cs="Times New Roman"/>
          <w:i w:val="0"/>
          <w:color w:val="auto"/>
        </w:rPr>
        <w:t>Table 1</w:t>
      </w:r>
      <w:r w:rsidR="00416BE9" w:rsidRPr="00C47C14">
        <w:rPr>
          <w:rFonts w:ascii="Times New Roman" w:hAnsi="Times New Roman" w:cs="Times New Roman"/>
          <w:i w:val="0"/>
          <w:color w:val="auto"/>
        </w:rPr>
        <w:t>3</w:t>
      </w:r>
      <w:r w:rsidRPr="00C47C14">
        <w:rPr>
          <w:rFonts w:ascii="Times New Roman" w:hAnsi="Times New Roman" w:cs="Times New Roman"/>
          <w:i w:val="0"/>
          <w:color w:val="auto"/>
        </w:rPr>
        <w:t>: South San Juan Basin 2006 NOx Emission Sources (</w:t>
      </w:r>
      <w:r w:rsidR="0059687A" w:rsidRPr="00C47C14">
        <w:rPr>
          <w:rFonts w:ascii="Times New Roman" w:hAnsi="Times New Roman" w:cs="Times New Roman"/>
          <w:i w:val="0"/>
          <w:color w:val="auto"/>
        </w:rPr>
        <w:t>tpy</w:t>
      </w:r>
      <w:r w:rsidRPr="00C47C14">
        <w:rPr>
          <w:rFonts w:ascii="Times New Roman" w:hAnsi="Times New Roman" w:cs="Times New Roman"/>
          <w:i w:val="0"/>
          <w:color w:val="auto"/>
        </w:rPr>
        <w:t>)</w:t>
      </w:r>
      <w:bookmarkEnd w:id="102"/>
      <w:r w:rsidR="00E21C92" w:rsidRPr="00C47C14">
        <w:rPr>
          <w:rFonts w:ascii="Times New Roman" w:hAnsi="Times New Roman" w:cs="Times New Roman"/>
          <w:i w:val="0"/>
          <w:color w:val="auto"/>
        </w:rPr>
        <w:fldChar w:fldCharType="begin"/>
      </w:r>
      <w:r w:rsidRPr="00C47C14">
        <w:rPr>
          <w:rFonts w:ascii="Times New Roman" w:hAnsi="Times New Roman" w:cs="Times New Roman"/>
          <w:i w:val="0"/>
          <w:color w:val="auto"/>
        </w:rPr>
        <w:instrText xml:space="preserve"> TC \l4 "</w:instrText>
      </w:r>
      <w:bookmarkStart w:id="103" w:name="_Toc363192355"/>
      <w:r w:rsidRPr="00C47C14">
        <w:rPr>
          <w:rFonts w:ascii="Times New Roman" w:hAnsi="Times New Roman" w:cs="Times New Roman"/>
          <w:i w:val="0"/>
          <w:color w:val="auto"/>
        </w:rPr>
        <w:instrText>Table 11: South San Juan Basin 2006 NOx Emission Sources (TPY)</w:instrText>
      </w:r>
      <w:bookmarkEnd w:id="103"/>
      <w:r w:rsidR="00E21C92" w:rsidRPr="00C47C14">
        <w:rPr>
          <w:rFonts w:ascii="Times New Roman" w:hAnsi="Times New Roman" w:cs="Times New Roman"/>
          <w:i w:val="0"/>
          <w:color w:val="auto"/>
        </w:rPr>
        <w:fldChar w:fldCharType="end"/>
      </w:r>
    </w:p>
    <w:tbl>
      <w:tblPr>
        <w:tblW w:w="11451" w:type="dxa"/>
        <w:tblInd w:w="-1093" w:type="dxa"/>
        <w:tblBorders>
          <w:top w:val="nil"/>
          <w:left w:val="nil"/>
          <w:bottom w:val="nil"/>
          <w:right w:val="nil"/>
          <w:insideH w:val="nil"/>
          <w:insideV w:val="nil"/>
        </w:tblBorders>
        <w:tblLayout w:type="fixed"/>
        <w:tblCellMar>
          <w:left w:w="85" w:type="dxa"/>
          <w:right w:w="85" w:type="dxa"/>
        </w:tblCellMar>
        <w:tblLook w:val="0000" w:firstRow="0" w:lastRow="0" w:firstColumn="0" w:lastColumn="0" w:noHBand="0" w:noVBand="0"/>
      </w:tblPr>
      <w:tblGrid>
        <w:gridCol w:w="1030"/>
        <w:gridCol w:w="1092"/>
        <w:gridCol w:w="671"/>
        <w:gridCol w:w="1123"/>
        <w:gridCol w:w="1108"/>
        <w:gridCol w:w="1201"/>
        <w:gridCol w:w="1201"/>
        <w:gridCol w:w="983"/>
        <w:gridCol w:w="1123"/>
        <w:gridCol w:w="1061"/>
        <w:gridCol w:w="858"/>
      </w:tblGrid>
      <w:tr w:rsidR="00042617" w:rsidRPr="00D15774" w:rsidTr="00620E70">
        <w:trPr>
          <w:trHeight w:val="254"/>
        </w:trPr>
        <w:tc>
          <w:tcPr>
            <w:tcW w:w="1030"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rsidP="00620E70">
            <w:pPr>
              <w:keepNext/>
              <w:keepLines/>
              <w:tabs>
                <w:tab w:val="left" w:pos="-1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left="-156"/>
              <w:jc w:val="center"/>
              <w:rPr>
                <w:sz w:val="20"/>
              </w:rPr>
            </w:pPr>
          </w:p>
        </w:tc>
        <w:tc>
          <w:tcPr>
            <w:tcW w:w="1092"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Compressor Engines</w:t>
            </w:r>
          </w:p>
        </w:tc>
        <w:tc>
          <w:tcPr>
            <w:tcW w:w="671"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Drill Rigs</w:t>
            </w:r>
          </w:p>
        </w:tc>
        <w:tc>
          <w:tcPr>
            <w:tcW w:w="1123"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Heaters</w:t>
            </w:r>
          </w:p>
        </w:tc>
        <w:tc>
          <w:tcPr>
            <w:tcW w:w="1108"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Workover Rigs</w:t>
            </w:r>
          </w:p>
        </w:tc>
        <w:tc>
          <w:tcPr>
            <w:tcW w:w="1201"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Completion Flaring</w:t>
            </w:r>
          </w:p>
        </w:tc>
        <w:tc>
          <w:tcPr>
            <w:tcW w:w="1201"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CBM Pump Engines</w:t>
            </w:r>
          </w:p>
        </w:tc>
        <w:tc>
          <w:tcPr>
            <w:tcW w:w="983"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Artificial Lift</w:t>
            </w:r>
          </w:p>
        </w:tc>
        <w:tc>
          <w:tcPr>
            <w:tcW w:w="1123"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Dehydrator</w:t>
            </w:r>
          </w:p>
        </w:tc>
        <w:tc>
          <w:tcPr>
            <w:tcW w:w="1061"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Other Categories</w:t>
            </w:r>
          </w:p>
        </w:tc>
        <w:tc>
          <w:tcPr>
            <w:tcW w:w="858"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tcPr>
          <w:p w:rsidR="00620E70" w:rsidRPr="00D15774" w:rsidRDefault="00620E7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Grand</w:t>
            </w:r>
          </w:p>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Total</w:t>
            </w:r>
          </w:p>
        </w:tc>
      </w:tr>
      <w:tr w:rsidR="00042617" w:rsidRPr="00D15774" w:rsidTr="00620E70">
        <w:trPr>
          <w:trHeight w:val="254"/>
        </w:trPr>
        <w:tc>
          <w:tcPr>
            <w:tcW w:w="1030" w:type="dxa"/>
            <w:tcBorders>
              <w:top w:val="single" w:sz="10" w:space="0" w:color="000000"/>
              <w:left w:val="single" w:sz="10" w:space="0" w:color="000000"/>
              <w:bottom w:val="single" w:sz="10" w:space="0" w:color="000000"/>
              <w:right w:val="single" w:sz="10" w:space="0" w:color="000000"/>
            </w:tcBorders>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Totals</w:t>
            </w:r>
          </w:p>
        </w:tc>
        <w:tc>
          <w:tcPr>
            <w:tcW w:w="1092"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35,545</w:t>
            </w:r>
          </w:p>
        </w:tc>
        <w:tc>
          <w:tcPr>
            <w:tcW w:w="671"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848</w:t>
            </w:r>
          </w:p>
        </w:tc>
        <w:tc>
          <w:tcPr>
            <w:tcW w:w="1123"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805</w:t>
            </w:r>
          </w:p>
        </w:tc>
        <w:tc>
          <w:tcPr>
            <w:tcW w:w="1108"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876</w:t>
            </w:r>
          </w:p>
        </w:tc>
        <w:tc>
          <w:tcPr>
            <w:tcW w:w="1201"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214</w:t>
            </w:r>
          </w:p>
        </w:tc>
        <w:tc>
          <w:tcPr>
            <w:tcW w:w="1201"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1,374</w:t>
            </w:r>
          </w:p>
        </w:tc>
        <w:tc>
          <w:tcPr>
            <w:tcW w:w="983"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1,498</w:t>
            </w:r>
          </w:p>
        </w:tc>
        <w:tc>
          <w:tcPr>
            <w:tcW w:w="1123"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209</w:t>
            </w:r>
          </w:p>
        </w:tc>
        <w:tc>
          <w:tcPr>
            <w:tcW w:w="1061"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705</w:t>
            </w:r>
          </w:p>
        </w:tc>
        <w:tc>
          <w:tcPr>
            <w:tcW w:w="858"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42,075</w:t>
            </w:r>
          </w:p>
        </w:tc>
      </w:tr>
      <w:tr w:rsidR="00042617" w:rsidRPr="00D15774" w:rsidTr="00620E70">
        <w:trPr>
          <w:trHeight w:val="254"/>
        </w:trPr>
        <w:tc>
          <w:tcPr>
            <w:tcW w:w="1030" w:type="dxa"/>
            <w:tcBorders>
              <w:top w:val="single" w:sz="10" w:space="0" w:color="000000"/>
              <w:left w:val="single" w:sz="10" w:space="0" w:color="000000"/>
              <w:bottom w:val="single" w:sz="10" w:space="0" w:color="000000"/>
              <w:right w:val="single" w:sz="10" w:space="0" w:color="000000"/>
            </w:tcBorders>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 xml:space="preserve">Percent of Total </w:t>
            </w:r>
          </w:p>
        </w:tc>
        <w:tc>
          <w:tcPr>
            <w:tcW w:w="1092"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84%</w:t>
            </w:r>
          </w:p>
        </w:tc>
        <w:tc>
          <w:tcPr>
            <w:tcW w:w="671"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2%</w:t>
            </w:r>
          </w:p>
        </w:tc>
        <w:tc>
          <w:tcPr>
            <w:tcW w:w="1123"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2%</w:t>
            </w:r>
          </w:p>
        </w:tc>
        <w:tc>
          <w:tcPr>
            <w:tcW w:w="1108"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2%</w:t>
            </w:r>
          </w:p>
        </w:tc>
        <w:tc>
          <w:tcPr>
            <w:tcW w:w="1201"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w:t>
            </w:r>
          </w:p>
        </w:tc>
        <w:tc>
          <w:tcPr>
            <w:tcW w:w="1201"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3%</w:t>
            </w:r>
          </w:p>
        </w:tc>
        <w:tc>
          <w:tcPr>
            <w:tcW w:w="983"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4%</w:t>
            </w:r>
          </w:p>
        </w:tc>
        <w:tc>
          <w:tcPr>
            <w:tcW w:w="1123"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0%</w:t>
            </w:r>
          </w:p>
        </w:tc>
        <w:tc>
          <w:tcPr>
            <w:tcW w:w="1061"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2%</w:t>
            </w:r>
          </w:p>
        </w:tc>
        <w:tc>
          <w:tcPr>
            <w:tcW w:w="858"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100%</w:t>
            </w:r>
          </w:p>
        </w:tc>
      </w:tr>
      <w:tr w:rsidR="00042617" w:rsidRPr="00D15774" w:rsidTr="00620E70">
        <w:trPr>
          <w:trHeight w:hRule="exact" w:val="144"/>
        </w:trPr>
        <w:tc>
          <w:tcPr>
            <w:tcW w:w="103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p>
        </w:tc>
        <w:tc>
          <w:tcPr>
            <w:tcW w:w="1092"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p>
        </w:tc>
        <w:tc>
          <w:tcPr>
            <w:tcW w:w="67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p>
        </w:tc>
        <w:tc>
          <w:tcPr>
            <w:tcW w:w="1123"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p>
        </w:tc>
        <w:tc>
          <w:tcPr>
            <w:tcW w:w="110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p>
        </w:tc>
        <w:tc>
          <w:tcPr>
            <w:tcW w:w="120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p>
        </w:tc>
        <w:tc>
          <w:tcPr>
            <w:tcW w:w="120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p>
        </w:tc>
        <w:tc>
          <w:tcPr>
            <w:tcW w:w="983"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p>
        </w:tc>
        <w:tc>
          <w:tcPr>
            <w:tcW w:w="1123"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p>
        </w:tc>
        <w:tc>
          <w:tcPr>
            <w:tcW w:w="106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p>
        </w:tc>
        <w:tc>
          <w:tcPr>
            <w:tcW w:w="85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p>
        </w:tc>
      </w:tr>
      <w:tr w:rsidR="00042617" w:rsidRPr="00D15774" w:rsidTr="00620E70">
        <w:trPr>
          <w:trHeight w:val="254"/>
        </w:trPr>
        <w:tc>
          <w:tcPr>
            <w:tcW w:w="1030"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 xml:space="preserve">Total Tribal </w:t>
            </w:r>
          </w:p>
        </w:tc>
        <w:tc>
          <w:tcPr>
            <w:tcW w:w="1092"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2,426</w:t>
            </w:r>
          </w:p>
        </w:tc>
        <w:tc>
          <w:tcPr>
            <w:tcW w:w="671"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52</w:t>
            </w:r>
          </w:p>
        </w:tc>
        <w:tc>
          <w:tcPr>
            <w:tcW w:w="1123"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94</w:t>
            </w:r>
          </w:p>
        </w:tc>
        <w:tc>
          <w:tcPr>
            <w:tcW w:w="1108"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102</w:t>
            </w:r>
          </w:p>
        </w:tc>
        <w:tc>
          <w:tcPr>
            <w:tcW w:w="1201"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25</w:t>
            </w:r>
          </w:p>
        </w:tc>
        <w:tc>
          <w:tcPr>
            <w:tcW w:w="1201"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67</w:t>
            </w:r>
          </w:p>
        </w:tc>
        <w:tc>
          <w:tcPr>
            <w:tcW w:w="983"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477</w:t>
            </w:r>
          </w:p>
        </w:tc>
        <w:tc>
          <w:tcPr>
            <w:tcW w:w="1123"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2</w:t>
            </w:r>
          </w:p>
        </w:tc>
        <w:tc>
          <w:tcPr>
            <w:tcW w:w="1061"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43</w:t>
            </w:r>
          </w:p>
        </w:tc>
        <w:tc>
          <w:tcPr>
            <w:tcW w:w="858"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3,287</w:t>
            </w:r>
          </w:p>
        </w:tc>
      </w:tr>
      <w:tr w:rsidR="00042617" w:rsidRPr="00D15774" w:rsidTr="00620E70">
        <w:trPr>
          <w:trHeight w:val="254"/>
        </w:trPr>
        <w:tc>
          <w:tcPr>
            <w:tcW w:w="1030"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 xml:space="preserve">Total Nontribal </w:t>
            </w:r>
          </w:p>
        </w:tc>
        <w:tc>
          <w:tcPr>
            <w:tcW w:w="1092"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33,119</w:t>
            </w:r>
          </w:p>
        </w:tc>
        <w:tc>
          <w:tcPr>
            <w:tcW w:w="671"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796</w:t>
            </w:r>
          </w:p>
        </w:tc>
        <w:tc>
          <w:tcPr>
            <w:tcW w:w="1123"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711</w:t>
            </w:r>
          </w:p>
        </w:tc>
        <w:tc>
          <w:tcPr>
            <w:tcW w:w="1108"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775</w:t>
            </w:r>
          </w:p>
        </w:tc>
        <w:tc>
          <w:tcPr>
            <w:tcW w:w="1201"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189</w:t>
            </w:r>
          </w:p>
        </w:tc>
        <w:tc>
          <w:tcPr>
            <w:tcW w:w="1201"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1,307</w:t>
            </w:r>
          </w:p>
        </w:tc>
        <w:tc>
          <w:tcPr>
            <w:tcW w:w="983"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1,022</w:t>
            </w:r>
          </w:p>
        </w:tc>
        <w:tc>
          <w:tcPr>
            <w:tcW w:w="1123"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208</w:t>
            </w:r>
          </w:p>
        </w:tc>
        <w:tc>
          <w:tcPr>
            <w:tcW w:w="1061"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661</w:t>
            </w:r>
          </w:p>
        </w:tc>
        <w:tc>
          <w:tcPr>
            <w:tcW w:w="858"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0"/>
              </w:rPr>
            </w:pPr>
            <w:r w:rsidRPr="00D15774">
              <w:rPr>
                <w:sz w:val="20"/>
              </w:rPr>
              <w:t>38,788</w:t>
            </w:r>
          </w:p>
        </w:tc>
      </w:tr>
    </w:tbl>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7B47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I</w:t>
      </w:r>
      <w:r w:rsidR="00042617" w:rsidRPr="00D15774">
        <w:t xml:space="preserve">n the South San Juan </w:t>
      </w:r>
      <w:r w:rsidRPr="00D15774">
        <w:t xml:space="preserve">Basin </w:t>
      </w:r>
      <w:r w:rsidR="00042617" w:rsidRPr="00D15774">
        <w:t xml:space="preserve">gas fired engines (compressors [84%], CBM pump [3%] and artificial lift engines [4%]) </w:t>
      </w:r>
      <w:r w:rsidRPr="00D15774">
        <w:t>are responsible for</w:t>
      </w:r>
      <w:r w:rsidR="00042617" w:rsidRPr="00D15774">
        <w:t xml:space="preserve"> the majority of the NOx emissions with 91% of the total, distantly followed by drill and workover engines at 4% </w:t>
      </w:r>
      <w:r w:rsidRPr="00D15774">
        <w:t xml:space="preserve">summed </w:t>
      </w:r>
      <w:r w:rsidR="00042617" w:rsidRPr="00D15774">
        <w:t>from these two categories.</w:t>
      </w: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7F5232" w:rsidRPr="00D15774" w:rsidRDefault="001B5699" w:rsidP="007F5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NOx is not covered by the new federal NSPS Subpart OOOO, therefore these emission rates should not be affected by that action.</w:t>
      </w:r>
      <w:r w:rsidR="00042617" w:rsidRPr="00D15774">
        <w:t xml:space="preserve">  </w:t>
      </w:r>
      <w:r w:rsidRPr="00D15774">
        <w:t xml:space="preserve">Also seen from the table, a portion of NOx emissions in the South San Juan Basin are located on Tribal Lands.  </w:t>
      </w:r>
      <w:r w:rsidR="00042617" w:rsidRPr="00D15774">
        <w:t xml:space="preserve">The new </w:t>
      </w:r>
      <w:r w:rsidR="00956808" w:rsidRPr="00D15774">
        <w:t>federal</w:t>
      </w:r>
      <w:r w:rsidR="00042617" w:rsidRPr="00D15774">
        <w:t xml:space="preserve"> </w:t>
      </w:r>
      <w:r w:rsidR="00991A85" w:rsidRPr="00D15774">
        <w:t xml:space="preserve">rules for </w:t>
      </w:r>
      <w:r w:rsidR="006E24A5" w:rsidRPr="00D15774">
        <w:t>“P</w:t>
      </w:r>
      <w:r w:rsidR="00042617" w:rsidRPr="00D15774">
        <w:t xml:space="preserve">ermitting of </w:t>
      </w:r>
      <w:r w:rsidR="006E24A5" w:rsidRPr="00D15774">
        <w:t>Minor S</w:t>
      </w:r>
      <w:r w:rsidR="00042617" w:rsidRPr="00D15774">
        <w:t>ources on Indian Lands</w:t>
      </w:r>
      <w:r w:rsidR="006E24A5" w:rsidRPr="00D15774">
        <w:t>”</w:t>
      </w:r>
      <w:r w:rsidR="00042617" w:rsidRPr="00D15774">
        <w:t xml:space="preserve"> will likely affect the emissions of previously unpermitted small sources like field compressors, miscellaneous engines and heat</w:t>
      </w:r>
      <w:r w:rsidR="005631F1" w:rsidRPr="00D15774">
        <w:t>ers in the future.  T</w:t>
      </w:r>
      <w:r w:rsidR="00042617" w:rsidRPr="00D15774">
        <w:t>he</w:t>
      </w:r>
      <w:r w:rsidR="005631F1" w:rsidRPr="00D15774">
        <w:t xml:space="preserve"> new </w:t>
      </w:r>
      <w:r w:rsidR="00042617" w:rsidRPr="00D15774">
        <w:t xml:space="preserve">requirements for </w:t>
      </w:r>
      <w:r w:rsidR="006E24A5" w:rsidRPr="00D15774">
        <w:t>m</w:t>
      </w:r>
      <w:r w:rsidR="00042617" w:rsidRPr="00D15774">
        <w:t>inor source</w:t>
      </w:r>
      <w:r w:rsidR="006E24A5" w:rsidRPr="00D15774">
        <w:t xml:space="preserve"> permitting </w:t>
      </w:r>
      <w:r w:rsidR="005631F1" w:rsidRPr="00D15774">
        <w:t xml:space="preserve">review </w:t>
      </w:r>
      <w:r w:rsidR="00042617" w:rsidRPr="00D15774">
        <w:t xml:space="preserve">will likely have </w:t>
      </w:r>
      <w:r w:rsidR="005631F1" w:rsidRPr="00D15774">
        <w:t xml:space="preserve">the </w:t>
      </w:r>
      <w:r w:rsidR="00042617" w:rsidRPr="00D15774">
        <w:t xml:space="preserve">effect of lowering </w:t>
      </w:r>
      <w:r w:rsidR="007F5232" w:rsidRPr="00D15774">
        <w:t>NOx</w:t>
      </w:r>
      <w:r w:rsidR="00042617" w:rsidRPr="00D15774">
        <w:t xml:space="preserve"> emission totals in this area on new sources in the future.  </w:t>
      </w:r>
      <w:r w:rsidR="006B4732" w:rsidRPr="00D15774">
        <w:t>However</w:t>
      </w:r>
      <w:r w:rsidR="00042617" w:rsidRPr="00D15774">
        <w:t xml:space="preserve">, it is </w:t>
      </w:r>
      <w:r w:rsidR="005631F1" w:rsidRPr="00D15774">
        <w:t xml:space="preserve">also </w:t>
      </w:r>
      <w:r w:rsidR="00042617" w:rsidRPr="00D15774">
        <w:t xml:space="preserve">likely there will be a number of existing sources that were never reported in the past, and now will be caught up in the </w:t>
      </w:r>
      <w:r w:rsidR="00956808" w:rsidRPr="00D15774">
        <w:t>federal</w:t>
      </w:r>
      <w:r w:rsidR="00991A85" w:rsidRPr="00D15774">
        <w:t xml:space="preserve"> r</w:t>
      </w:r>
      <w:r w:rsidR="00042617" w:rsidRPr="00D15774">
        <w:t xml:space="preserve">egulation reporting requirements.  Thus we may </w:t>
      </w:r>
      <w:r w:rsidR="005631F1" w:rsidRPr="00D15774">
        <w:t xml:space="preserve">actually </w:t>
      </w:r>
      <w:r w:rsidR="00042617" w:rsidRPr="00D15774">
        <w:t xml:space="preserve">see some increased </w:t>
      </w:r>
      <w:r w:rsidR="007F5232" w:rsidRPr="00D15774">
        <w:t xml:space="preserve">NOx </w:t>
      </w:r>
      <w:r w:rsidR="00042617" w:rsidRPr="00D15774">
        <w:t xml:space="preserve">emissions show up </w:t>
      </w:r>
      <w:r w:rsidR="007B4767" w:rsidRPr="00D15774">
        <w:t xml:space="preserve">in future emission inventories </w:t>
      </w:r>
      <w:r w:rsidR="00042617" w:rsidRPr="00D15774">
        <w:t xml:space="preserve">on </w:t>
      </w:r>
      <w:r w:rsidR="00765567" w:rsidRPr="00D15774">
        <w:t>Tribal Lands</w:t>
      </w:r>
      <w:r w:rsidR="007F7501" w:rsidRPr="00D15774">
        <w:t xml:space="preserve"> in the South San Juan Basin</w:t>
      </w:r>
      <w:r w:rsidR="006F7CB5" w:rsidRPr="00D15774">
        <w:t xml:space="preserve"> due to this permitting regulation.</w:t>
      </w:r>
    </w:p>
    <w:p w:rsidR="001B5699" w:rsidRPr="00D15774" w:rsidRDefault="001B5699" w:rsidP="007F5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1B5699" w:rsidRPr="00D15774" w:rsidRDefault="001B5699" w:rsidP="001B5699">
      <w:pPr>
        <w:widowControl w:val="0"/>
        <w:spacing w:line="300" w:lineRule="auto"/>
        <w:rPr>
          <w:color w:val="000000"/>
          <w:szCs w:val="24"/>
        </w:rPr>
      </w:pPr>
      <w:r w:rsidRPr="00D15774">
        <w:rPr>
          <w:szCs w:val="24"/>
          <w:lang w:val="en-CA"/>
        </w:rPr>
        <w:t>Regarding the 4% of NOx from Nonroad Mobile drill/workover rig engines, the federal</w:t>
      </w:r>
      <w:r w:rsidRPr="00D15774">
        <w:rPr>
          <w:color w:val="000000"/>
          <w:szCs w:val="24"/>
        </w:rPr>
        <w:t xml:space="preserve"> Tier Standards take precedence and should be already accounted for in this inventory.</w:t>
      </w: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Table 1</w:t>
      </w:r>
      <w:r w:rsidR="00416BE9" w:rsidRPr="00D15774">
        <w:t>4</w:t>
      </w:r>
      <w:r w:rsidRPr="00D15774">
        <w:t xml:space="preserve"> contains a listing of the South San Juan Basin VOC emissions from </w:t>
      </w:r>
      <w:r w:rsidR="0099797E" w:rsidRPr="00D15774">
        <w:t>ENVIRON</w:t>
      </w:r>
      <w:r w:rsidRPr="00D15774">
        <w:t>’s above cited November 25, 2009 Technical Memo.</w:t>
      </w: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1D0BB0" w:rsidRPr="00D15774" w:rsidRDefault="001D0BB0" w:rsidP="00E1181C">
      <w:pPr>
        <w:pStyle w:val="Heading4"/>
        <w:rPr>
          <w:rFonts w:ascii="Times New Roman" w:hAnsi="Times New Roman" w:cs="Times New Roman"/>
        </w:rPr>
      </w:pPr>
    </w:p>
    <w:p w:rsidR="00042617" w:rsidRPr="00C47C14" w:rsidRDefault="00042617" w:rsidP="00C47C14">
      <w:pPr>
        <w:pStyle w:val="Heading4"/>
        <w:jc w:val="center"/>
        <w:rPr>
          <w:rFonts w:ascii="Times New Roman" w:hAnsi="Times New Roman" w:cs="Times New Roman"/>
          <w:i w:val="0"/>
          <w:color w:val="auto"/>
        </w:rPr>
      </w:pPr>
      <w:bookmarkStart w:id="104" w:name="_Toc369087032"/>
      <w:r w:rsidRPr="00C47C14">
        <w:rPr>
          <w:rFonts w:ascii="Times New Roman" w:hAnsi="Times New Roman" w:cs="Times New Roman"/>
          <w:i w:val="0"/>
          <w:color w:val="auto"/>
        </w:rPr>
        <w:t>Table 1</w:t>
      </w:r>
      <w:r w:rsidR="00416BE9" w:rsidRPr="00C47C14">
        <w:rPr>
          <w:rFonts w:ascii="Times New Roman" w:hAnsi="Times New Roman" w:cs="Times New Roman"/>
          <w:i w:val="0"/>
          <w:color w:val="auto"/>
        </w:rPr>
        <w:t>4</w:t>
      </w:r>
      <w:r w:rsidRPr="00C47C14">
        <w:rPr>
          <w:rFonts w:ascii="Times New Roman" w:hAnsi="Times New Roman" w:cs="Times New Roman"/>
          <w:i w:val="0"/>
          <w:color w:val="auto"/>
        </w:rPr>
        <w:t>: South San Juan Basin 2006 VOC Emission Sources (</w:t>
      </w:r>
      <w:r w:rsidR="0059687A" w:rsidRPr="00C47C14">
        <w:rPr>
          <w:rFonts w:ascii="Times New Roman" w:hAnsi="Times New Roman" w:cs="Times New Roman"/>
          <w:i w:val="0"/>
          <w:color w:val="auto"/>
        </w:rPr>
        <w:t>tpy</w:t>
      </w:r>
      <w:r w:rsidRPr="00C47C14">
        <w:rPr>
          <w:rFonts w:ascii="Times New Roman" w:hAnsi="Times New Roman" w:cs="Times New Roman"/>
          <w:i w:val="0"/>
          <w:color w:val="auto"/>
        </w:rPr>
        <w:t>)</w:t>
      </w:r>
      <w:bookmarkEnd w:id="104"/>
      <w:r w:rsidR="00E21C92" w:rsidRPr="00C47C14">
        <w:rPr>
          <w:rFonts w:ascii="Times New Roman" w:hAnsi="Times New Roman" w:cs="Times New Roman"/>
          <w:i w:val="0"/>
          <w:color w:val="auto"/>
        </w:rPr>
        <w:fldChar w:fldCharType="begin"/>
      </w:r>
      <w:r w:rsidRPr="00C47C14">
        <w:rPr>
          <w:rFonts w:ascii="Times New Roman" w:hAnsi="Times New Roman" w:cs="Times New Roman"/>
          <w:i w:val="0"/>
          <w:color w:val="auto"/>
        </w:rPr>
        <w:instrText xml:space="preserve"> TC \l4 "</w:instrText>
      </w:r>
      <w:bookmarkStart w:id="105" w:name="_Toc363192356"/>
      <w:r w:rsidRPr="00C47C14">
        <w:rPr>
          <w:rFonts w:ascii="Times New Roman" w:hAnsi="Times New Roman" w:cs="Times New Roman"/>
          <w:i w:val="0"/>
          <w:color w:val="auto"/>
        </w:rPr>
        <w:instrText>Table 12: South San Juan Basin 2006 VOC Emission Sources (TPY)</w:instrText>
      </w:r>
      <w:bookmarkEnd w:id="105"/>
      <w:r w:rsidR="00E21C92" w:rsidRPr="00C47C14">
        <w:rPr>
          <w:rFonts w:ascii="Times New Roman" w:hAnsi="Times New Roman" w:cs="Times New Roman"/>
          <w:i w:val="0"/>
          <w:color w:val="auto"/>
        </w:rPr>
        <w:fldChar w:fldCharType="end"/>
      </w:r>
    </w:p>
    <w:tbl>
      <w:tblPr>
        <w:tblW w:w="11671" w:type="dxa"/>
        <w:jc w:val="center"/>
        <w:tblBorders>
          <w:top w:val="nil"/>
          <w:left w:val="nil"/>
          <w:bottom w:val="nil"/>
          <w:right w:val="nil"/>
          <w:insideH w:val="nil"/>
          <w:insideV w:val="nil"/>
        </w:tblBorders>
        <w:tblLayout w:type="fixed"/>
        <w:tblCellMar>
          <w:left w:w="35" w:type="dxa"/>
          <w:right w:w="35" w:type="dxa"/>
        </w:tblCellMar>
        <w:tblLook w:val="0000" w:firstRow="0" w:lastRow="0" w:firstColumn="0" w:lastColumn="0" w:noHBand="0" w:noVBand="0"/>
      </w:tblPr>
      <w:tblGrid>
        <w:gridCol w:w="701"/>
        <w:gridCol w:w="796"/>
        <w:gridCol w:w="858"/>
        <w:gridCol w:w="764"/>
        <w:gridCol w:w="874"/>
        <w:gridCol w:w="967"/>
        <w:gridCol w:w="952"/>
        <w:gridCol w:w="920"/>
        <w:gridCol w:w="530"/>
        <w:gridCol w:w="749"/>
        <w:gridCol w:w="811"/>
        <w:gridCol w:w="967"/>
        <w:gridCol w:w="920"/>
        <w:gridCol w:w="862"/>
      </w:tblGrid>
      <w:tr w:rsidR="00042617" w:rsidRPr="00D15774" w:rsidTr="006E2C18">
        <w:trPr>
          <w:trHeight w:val="254"/>
          <w:jc w:val="center"/>
        </w:trPr>
        <w:tc>
          <w:tcPr>
            <w:tcW w:w="701"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p>
        </w:tc>
        <w:tc>
          <w:tcPr>
            <w:tcW w:w="796"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pacing w:val="-5"/>
                <w:sz w:val="16"/>
              </w:rPr>
            </w:pPr>
            <w:r w:rsidRPr="00D15774">
              <w:rPr>
                <w:spacing w:val="-5"/>
                <w:sz w:val="16"/>
              </w:rPr>
              <w:t>Compressor Engines</w:t>
            </w:r>
          </w:p>
        </w:tc>
        <w:tc>
          <w:tcPr>
            <w:tcW w:w="858"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Pneumatic Devices</w:t>
            </w:r>
          </w:p>
        </w:tc>
        <w:tc>
          <w:tcPr>
            <w:tcW w:w="764"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Pneumatic Pumps</w:t>
            </w:r>
          </w:p>
        </w:tc>
        <w:tc>
          <w:tcPr>
            <w:tcW w:w="874"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Venting – Blowdown</w:t>
            </w:r>
          </w:p>
        </w:tc>
        <w:tc>
          <w:tcPr>
            <w:tcW w:w="967"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Venting - Initial Completion</w:t>
            </w:r>
          </w:p>
        </w:tc>
        <w:tc>
          <w:tcPr>
            <w:tcW w:w="952"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Unpermitted</w:t>
            </w:r>
          </w:p>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Fugitives</w:t>
            </w:r>
          </w:p>
        </w:tc>
        <w:tc>
          <w:tcPr>
            <w:tcW w:w="920"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Condensate</w:t>
            </w:r>
          </w:p>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Tanks</w:t>
            </w:r>
          </w:p>
        </w:tc>
        <w:tc>
          <w:tcPr>
            <w:tcW w:w="530"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Oil Tanks</w:t>
            </w:r>
          </w:p>
        </w:tc>
        <w:tc>
          <w:tcPr>
            <w:tcW w:w="749"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CBM Pump</w:t>
            </w:r>
          </w:p>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Engines</w:t>
            </w:r>
          </w:p>
        </w:tc>
        <w:tc>
          <w:tcPr>
            <w:tcW w:w="811"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Permitted</w:t>
            </w:r>
          </w:p>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Tank Losses</w:t>
            </w:r>
          </w:p>
        </w:tc>
        <w:tc>
          <w:tcPr>
            <w:tcW w:w="967"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Dehydrator</w:t>
            </w:r>
          </w:p>
        </w:tc>
        <w:tc>
          <w:tcPr>
            <w:tcW w:w="920"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Other Categories</w:t>
            </w:r>
          </w:p>
        </w:tc>
        <w:tc>
          <w:tcPr>
            <w:tcW w:w="862"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7F197C" w:rsidRPr="00D15774" w:rsidRDefault="007F197C" w:rsidP="007F197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b/>
                <w:sz w:val="16"/>
              </w:rPr>
            </w:pPr>
            <w:r w:rsidRPr="00D15774">
              <w:rPr>
                <w:b/>
                <w:sz w:val="16"/>
              </w:rPr>
              <w:t>Grand</w:t>
            </w:r>
          </w:p>
          <w:p w:rsidR="00042617" w:rsidRPr="00D15774" w:rsidRDefault="00042617" w:rsidP="007F197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b/>
                <w:sz w:val="16"/>
              </w:rPr>
              <w:t>Total</w:t>
            </w:r>
          </w:p>
        </w:tc>
      </w:tr>
      <w:tr w:rsidR="00042617" w:rsidRPr="00D15774" w:rsidTr="006E2C18">
        <w:trPr>
          <w:trHeight w:val="254"/>
          <w:jc w:val="center"/>
        </w:trPr>
        <w:tc>
          <w:tcPr>
            <w:tcW w:w="701" w:type="dxa"/>
            <w:tcBorders>
              <w:top w:val="single" w:sz="10" w:space="0" w:color="000000"/>
              <w:left w:val="single" w:sz="10" w:space="0" w:color="000000"/>
              <w:bottom w:val="single" w:sz="10" w:space="0" w:color="000000"/>
              <w:right w:val="single" w:sz="10" w:space="0" w:color="000000"/>
            </w:tcBorders>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Totals</w:t>
            </w:r>
          </w:p>
        </w:tc>
        <w:tc>
          <w:tcPr>
            <w:tcW w:w="796" w:type="dxa"/>
            <w:tcBorders>
              <w:top w:val="single" w:sz="10" w:space="0" w:color="000000"/>
              <w:left w:val="single" w:sz="10" w:space="0" w:color="000000"/>
              <w:bottom w:val="single" w:sz="10" w:space="0" w:color="000000"/>
              <w:right w:val="single" w:sz="10" w:space="0" w:color="000000"/>
            </w:tcBorders>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4,180</w:t>
            </w:r>
          </w:p>
        </w:tc>
        <w:tc>
          <w:tcPr>
            <w:tcW w:w="858" w:type="dxa"/>
            <w:tcBorders>
              <w:top w:val="single" w:sz="10" w:space="0" w:color="000000"/>
              <w:left w:val="single" w:sz="10" w:space="0" w:color="000000"/>
              <w:bottom w:val="single" w:sz="10" w:space="0" w:color="000000"/>
              <w:right w:val="single" w:sz="10" w:space="0" w:color="000000"/>
            </w:tcBorders>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1,584</w:t>
            </w:r>
          </w:p>
        </w:tc>
        <w:tc>
          <w:tcPr>
            <w:tcW w:w="764" w:type="dxa"/>
            <w:tcBorders>
              <w:top w:val="single" w:sz="10" w:space="0" w:color="000000"/>
              <w:left w:val="single" w:sz="10" w:space="0" w:color="000000"/>
              <w:bottom w:val="single" w:sz="10" w:space="0" w:color="000000"/>
              <w:right w:val="single" w:sz="10" w:space="0" w:color="000000"/>
            </w:tcBorders>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142</w:t>
            </w:r>
          </w:p>
        </w:tc>
        <w:tc>
          <w:tcPr>
            <w:tcW w:w="874" w:type="dxa"/>
            <w:tcBorders>
              <w:top w:val="single" w:sz="10" w:space="0" w:color="000000"/>
              <w:left w:val="single" w:sz="10" w:space="0" w:color="000000"/>
              <w:bottom w:val="single" w:sz="10" w:space="0" w:color="000000"/>
              <w:right w:val="single" w:sz="10" w:space="0" w:color="000000"/>
            </w:tcBorders>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13,145</w:t>
            </w:r>
          </w:p>
        </w:tc>
        <w:tc>
          <w:tcPr>
            <w:tcW w:w="967" w:type="dxa"/>
            <w:tcBorders>
              <w:top w:val="single" w:sz="10" w:space="0" w:color="000000"/>
              <w:left w:val="single" w:sz="10" w:space="0" w:color="000000"/>
              <w:bottom w:val="single" w:sz="10" w:space="0" w:color="000000"/>
              <w:right w:val="single" w:sz="10" w:space="0" w:color="000000"/>
            </w:tcBorders>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14,492</w:t>
            </w:r>
          </w:p>
        </w:tc>
        <w:tc>
          <w:tcPr>
            <w:tcW w:w="952" w:type="dxa"/>
            <w:tcBorders>
              <w:top w:val="single" w:sz="10" w:space="0" w:color="000000"/>
              <w:left w:val="single" w:sz="10" w:space="0" w:color="000000"/>
              <w:bottom w:val="single" w:sz="10" w:space="0" w:color="000000"/>
              <w:right w:val="single" w:sz="10" w:space="0" w:color="000000"/>
            </w:tcBorders>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4,137</w:t>
            </w:r>
          </w:p>
        </w:tc>
        <w:tc>
          <w:tcPr>
            <w:tcW w:w="920" w:type="dxa"/>
            <w:tcBorders>
              <w:top w:val="single" w:sz="10" w:space="0" w:color="000000"/>
              <w:left w:val="single" w:sz="10" w:space="0" w:color="000000"/>
              <w:bottom w:val="single" w:sz="10" w:space="0" w:color="000000"/>
              <w:right w:val="single" w:sz="10" w:space="0" w:color="000000"/>
            </w:tcBorders>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3,964</w:t>
            </w:r>
          </w:p>
        </w:tc>
        <w:tc>
          <w:tcPr>
            <w:tcW w:w="530" w:type="dxa"/>
            <w:tcBorders>
              <w:top w:val="single" w:sz="10" w:space="0" w:color="000000"/>
              <w:left w:val="single" w:sz="10" w:space="0" w:color="000000"/>
              <w:bottom w:val="single" w:sz="10" w:space="0" w:color="000000"/>
              <w:right w:val="single" w:sz="10" w:space="0" w:color="000000"/>
            </w:tcBorders>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2,430</w:t>
            </w:r>
          </w:p>
        </w:tc>
        <w:tc>
          <w:tcPr>
            <w:tcW w:w="749" w:type="dxa"/>
            <w:tcBorders>
              <w:top w:val="single" w:sz="10" w:space="0" w:color="000000"/>
              <w:left w:val="single" w:sz="10" w:space="0" w:color="000000"/>
              <w:bottom w:val="single" w:sz="10" w:space="0" w:color="000000"/>
              <w:right w:val="single" w:sz="10" w:space="0" w:color="000000"/>
            </w:tcBorders>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1,837</w:t>
            </w:r>
          </w:p>
        </w:tc>
        <w:tc>
          <w:tcPr>
            <w:tcW w:w="811" w:type="dxa"/>
            <w:tcBorders>
              <w:top w:val="single" w:sz="10" w:space="0" w:color="000000"/>
              <w:left w:val="single" w:sz="10" w:space="0" w:color="000000"/>
              <w:bottom w:val="single" w:sz="10" w:space="0" w:color="000000"/>
              <w:right w:val="single" w:sz="10" w:space="0" w:color="000000"/>
            </w:tcBorders>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1,832</w:t>
            </w:r>
          </w:p>
        </w:tc>
        <w:tc>
          <w:tcPr>
            <w:tcW w:w="967" w:type="dxa"/>
            <w:tcBorders>
              <w:top w:val="single" w:sz="10" w:space="0" w:color="000000"/>
              <w:left w:val="single" w:sz="10" w:space="0" w:color="000000"/>
              <w:bottom w:val="single" w:sz="10" w:space="0" w:color="000000"/>
              <w:right w:val="single" w:sz="10" w:space="0" w:color="000000"/>
            </w:tcBorders>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11,372</w:t>
            </w:r>
          </w:p>
        </w:tc>
        <w:tc>
          <w:tcPr>
            <w:tcW w:w="920" w:type="dxa"/>
            <w:tcBorders>
              <w:top w:val="single" w:sz="10" w:space="0" w:color="000000"/>
              <w:left w:val="single" w:sz="10" w:space="0" w:color="000000"/>
              <w:bottom w:val="single" w:sz="10" w:space="0" w:color="000000"/>
              <w:right w:val="single" w:sz="10" w:space="0" w:color="000000"/>
            </w:tcBorders>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1,582</w:t>
            </w:r>
          </w:p>
        </w:tc>
        <w:tc>
          <w:tcPr>
            <w:tcW w:w="862" w:type="dxa"/>
            <w:tcBorders>
              <w:top w:val="single" w:sz="10" w:space="0" w:color="000000"/>
              <w:left w:val="single" w:sz="10" w:space="0" w:color="000000"/>
              <w:bottom w:val="single" w:sz="10" w:space="0" w:color="000000"/>
              <w:right w:val="single" w:sz="10" w:space="0" w:color="000000"/>
            </w:tcBorders>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60,697</w:t>
            </w:r>
          </w:p>
        </w:tc>
      </w:tr>
      <w:tr w:rsidR="00042617" w:rsidRPr="00D15774" w:rsidTr="006E2C18">
        <w:trPr>
          <w:trHeight w:val="254"/>
          <w:jc w:val="center"/>
        </w:trPr>
        <w:tc>
          <w:tcPr>
            <w:tcW w:w="701" w:type="dxa"/>
            <w:tcBorders>
              <w:top w:val="single" w:sz="10" w:space="0" w:color="000000"/>
              <w:left w:val="single" w:sz="10" w:space="0" w:color="000000"/>
              <w:bottom w:val="single" w:sz="10" w:space="0" w:color="000000"/>
              <w:right w:val="single" w:sz="10" w:space="0" w:color="000000"/>
            </w:tcBorders>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Percent of Total</w:t>
            </w:r>
          </w:p>
        </w:tc>
        <w:tc>
          <w:tcPr>
            <w:tcW w:w="796"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7%</w:t>
            </w:r>
          </w:p>
        </w:tc>
        <w:tc>
          <w:tcPr>
            <w:tcW w:w="858"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3%</w:t>
            </w:r>
          </w:p>
        </w:tc>
        <w:tc>
          <w:tcPr>
            <w:tcW w:w="764"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0%</w:t>
            </w:r>
          </w:p>
        </w:tc>
        <w:tc>
          <w:tcPr>
            <w:tcW w:w="874"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22%</w:t>
            </w:r>
          </w:p>
        </w:tc>
        <w:tc>
          <w:tcPr>
            <w:tcW w:w="967"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24%</w:t>
            </w:r>
          </w:p>
        </w:tc>
        <w:tc>
          <w:tcPr>
            <w:tcW w:w="952"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7%</w:t>
            </w:r>
          </w:p>
        </w:tc>
        <w:tc>
          <w:tcPr>
            <w:tcW w:w="920"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7%</w:t>
            </w:r>
          </w:p>
        </w:tc>
        <w:tc>
          <w:tcPr>
            <w:tcW w:w="530"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4%</w:t>
            </w:r>
          </w:p>
        </w:tc>
        <w:tc>
          <w:tcPr>
            <w:tcW w:w="749"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3%</w:t>
            </w:r>
          </w:p>
        </w:tc>
        <w:tc>
          <w:tcPr>
            <w:tcW w:w="811"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3%</w:t>
            </w:r>
          </w:p>
        </w:tc>
        <w:tc>
          <w:tcPr>
            <w:tcW w:w="967"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19%</w:t>
            </w:r>
          </w:p>
        </w:tc>
        <w:tc>
          <w:tcPr>
            <w:tcW w:w="920"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3%</w:t>
            </w:r>
          </w:p>
        </w:tc>
        <w:tc>
          <w:tcPr>
            <w:tcW w:w="862"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100%</w:t>
            </w:r>
          </w:p>
        </w:tc>
      </w:tr>
      <w:tr w:rsidR="00042617" w:rsidRPr="00D15774" w:rsidTr="006E2C18">
        <w:trPr>
          <w:trHeight w:hRule="exact" w:val="144"/>
          <w:jc w:val="center"/>
        </w:trPr>
        <w:tc>
          <w:tcPr>
            <w:tcW w:w="70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p>
        </w:tc>
        <w:tc>
          <w:tcPr>
            <w:tcW w:w="79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85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764"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rPr>
                <w:sz w:val="16"/>
              </w:rPr>
            </w:pPr>
          </w:p>
        </w:tc>
        <w:tc>
          <w:tcPr>
            <w:tcW w:w="874"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96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952"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92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53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749"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81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96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92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862"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r>
      <w:tr w:rsidR="00042617" w:rsidRPr="00D15774" w:rsidTr="006E2C18">
        <w:trPr>
          <w:trHeight w:val="254"/>
          <w:jc w:val="center"/>
        </w:trPr>
        <w:tc>
          <w:tcPr>
            <w:tcW w:w="701"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Total Tribal</w:t>
            </w:r>
          </w:p>
        </w:tc>
        <w:tc>
          <w:tcPr>
            <w:tcW w:w="79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212</w:t>
            </w:r>
          </w:p>
        </w:tc>
        <w:tc>
          <w:tcPr>
            <w:tcW w:w="858"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225</w:t>
            </w:r>
          </w:p>
        </w:tc>
        <w:tc>
          <w:tcPr>
            <w:tcW w:w="764"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20</w:t>
            </w:r>
          </w:p>
        </w:tc>
        <w:tc>
          <w:tcPr>
            <w:tcW w:w="874"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1,150</w:t>
            </w:r>
          </w:p>
        </w:tc>
        <w:tc>
          <w:tcPr>
            <w:tcW w:w="967"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2,074</w:t>
            </w:r>
          </w:p>
        </w:tc>
        <w:tc>
          <w:tcPr>
            <w:tcW w:w="952"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592</w:t>
            </w:r>
          </w:p>
        </w:tc>
        <w:tc>
          <w:tcPr>
            <w:tcW w:w="920"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401</w:t>
            </w:r>
          </w:p>
        </w:tc>
        <w:tc>
          <w:tcPr>
            <w:tcW w:w="530"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773</w:t>
            </w:r>
          </w:p>
        </w:tc>
        <w:tc>
          <w:tcPr>
            <w:tcW w:w="749"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90</w:t>
            </w:r>
          </w:p>
        </w:tc>
        <w:tc>
          <w:tcPr>
            <w:tcW w:w="811"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222</w:t>
            </w:r>
          </w:p>
        </w:tc>
        <w:tc>
          <w:tcPr>
            <w:tcW w:w="967"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1,031</w:t>
            </w:r>
          </w:p>
        </w:tc>
        <w:tc>
          <w:tcPr>
            <w:tcW w:w="920"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132</w:t>
            </w:r>
          </w:p>
        </w:tc>
        <w:tc>
          <w:tcPr>
            <w:tcW w:w="862"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6,923</w:t>
            </w:r>
          </w:p>
        </w:tc>
      </w:tr>
      <w:tr w:rsidR="00042617" w:rsidRPr="00D15774" w:rsidTr="006E2C18">
        <w:trPr>
          <w:trHeight w:val="254"/>
          <w:jc w:val="center"/>
        </w:trPr>
        <w:tc>
          <w:tcPr>
            <w:tcW w:w="701"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Total Nontribal</w:t>
            </w:r>
          </w:p>
        </w:tc>
        <w:tc>
          <w:tcPr>
            <w:tcW w:w="79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3,968</w:t>
            </w:r>
          </w:p>
        </w:tc>
        <w:tc>
          <w:tcPr>
            <w:tcW w:w="858"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1,359</w:t>
            </w:r>
          </w:p>
        </w:tc>
        <w:tc>
          <w:tcPr>
            <w:tcW w:w="764"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121</w:t>
            </w:r>
          </w:p>
        </w:tc>
        <w:tc>
          <w:tcPr>
            <w:tcW w:w="874"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11,995</w:t>
            </w:r>
          </w:p>
        </w:tc>
        <w:tc>
          <w:tcPr>
            <w:tcW w:w="967"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12,418</w:t>
            </w:r>
          </w:p>
        </w:tc>
        <w:tc>
          <w:tcPr>
            <w:tcW w:w="952"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3,545</w:t>
            </w:r>
          </w:p>
        </w:tc>
        <w:tc>
          <w:tcPr>
            <w:tcW w:w="920"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3,563</w:t>
            </w:r>
          </w:p>
        </w:tc>
        <w:tc>
          <w:tcPr>
            <w:tcW w:w="530"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1,657</w:t>
            </w:r>
          </w:p>
        </w:tc>
        <w:tc>
          <w:tcPr>
            <w:tcW w:w="749"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1,747</w:t>
            </w:r>
          </w:p>
        </w:tc>
        <w:tc>
          <w:tcPr>
            <w:tcW w:w="811"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1,610</w:t>
            </w:r>
          </w:p>
        </w:tc>
        <w:tc>
          <w:tcPr>
            <w:tcW w:w="967"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10,341</w:t>
            </w:r>
          </w:p>
        </w:tc>
        <w:tc>
          <w:tcPr>
            <w:tcW w:w="920"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1,450</w:t>
            </w:r>
          </w:p>
        </w:tc>
        <w:tc>
          <w:tcPr>
            <w:tcW w:w="862"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53,774</w:t>
            </w:r>
          </w:p>
        </w:tc>
      </w:tr>
    </w:tbl>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In the South San Juan case, venting from initial completions (24%) and venting from blowdowns (22%) comprise almost half - 46% of the VOC emissions in the basin.  This is followed by glycol dehydrators emissions with 19% and emissions from condensate (7%), oil tanks (4%) and permitted tank losses (3%)  totaling to 14% of the VOC emission totals.  Compressors (7%) </w:t>
      </w:r>
      <w:r w:rsidR="007B4767" w:rsidRPr="00D15774">
        <w:t xml:space="preserve">and CBM Pump Engines (3%) combine to make up </w:t>
      </w:r>
      <w:r w:rsidRPr="00D15774">
        <w:t xml:space="preserve">the next biggest source category with 10% </w:t>
      </w:r>
      <w:r w:rsidR="007E2062" w:rsidRPr="00D15774">
        <w:t xml:space="preserve">of the </w:t>
      </w:r>
      <w:r w:rsidR="007B4767" w:rsidRPr="00D15774">
        <w:t xml:space="preserve">total </w:t>
      </w:r>
      <w:r w:rsidR="007E2062" w:rsidRPr="00D15774">
        <w:t xml:space="preserve">basin VOC </w:t>
      </w:r>
      <w:r w:rsidRPr="00D15774">
        <w:t xml:space="preserve">from these two types of gas fired </w:t>
      </w:r>
      <w:r w:rsidR="007B4767" w:rsidRPr="00D15774">
        <w:t>engine</w:t>
      </w:r>
      <w:r w:rsidRPr="00D15774">
        <w:t>s.</w:t>
      </w:r>
    </w:p>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7F7501" w:rsidP="007F75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Regarding well completions (venting blowdowns in the Phase III inventory) under Subpart OOOO any new or existing non-exploratory or non-delineation wells (wells that are in close proximity to a gathering line) that have undergone high pressure hydraulic fracturing (fracing), the regulation will require “Green Completions” for these wells, in combination with pit flaring for gas unsuitable to enter a sales pipeline. </w:t>
      </w:r>
      <w:r w:rsidR="00042617" w:rsidRPr="00D15774">
        <w:t xml:space="preserve"> The State of New Mexico has no regulations on Green Completions, so Subpart OOOO would likely reduce VOC emissions in future inventories from this source category in the South San Juan Basin.</w:t>
      </w:r>
    </w:p>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7F7501" w:rsidP="007F75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Regarding glycol dehydrators, EPA previously proposed to remove the 1 ton per year benzene compliance option for large glycol dehydrators, but with the revised risk analysis, the final rule retained this 1 TPY option for large dehydrators.  If annual benzene emissions don’t meet the 1 TPY threshold, under Subpart OOOO the large dehydrators would have to reduce air toxics their emissions by 95 percent.</w:t>
      </w:r>
      <w:r w:rsidR="00042617" w:rsidRPr="00D15774">
        <w:t xml:space="preserve"> </w:t>
      </w:r>
      <w:r w:rsidRPr="00D15774">
        <w:t xml:space="preserve"> </w:t>
      </w:r>
      <w:r w:rsidR="00042617" w:rsidRPr="00D15774">
        <w:t xml:space="preserve">Once again the State of New Mexico has no existing regulations on dehydrator control requirements for this source category, so Subpart OOOO would likely reduce VOC emissions from dehydrators </w:t>
      </w:r>
      <w:r w:rsidR="007E2062" w:rsidRPr="00D15774">
        <w:t>in future inventories for</w:t>
      </w:r>
      <w:r w:rsidR="00042617" w:rsidRPr="00D15774">
        <w:t xml:space="preserve"> the South San Juan Basin.</w:t>
      </w:r>
    </w:p>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7F75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The </w:t>
      </w:r>
      <w:r w:rsidRPr="00D15774">
        <w:rPr>
          <w:rStyle w:val="FigureChar"/>
          <w:rFonts w:ascii="Times New Roman" w:hAnsi="Times New Roman"/>
          <w:b w:val="0"/>
          <w:sz w:val="24"/>
        </w:rPr>
        <w:t>Subpart OOOO regulation require</w:t>
      </w:r>
      <w:r w:rsidR="002D6BE5" w:rsidRPr="00D15774">
        <w:rPr>
          <w:rStyle w:val="FigureChar"/>
          <w:rFonts w:ascii="Times New Roman" w:hAnsi="Times New Roman"/>
          <w:b w:val="0"/>
          <w:sz w:val="24"/>
        </w:rPr>
        <w:t>s</w:t>
      </w:r>
      <w:r w:rsidRPr="00D15774">
        <w:rPr>
          <w:rStyle w:val="FigureChar"/>
          <w:rFonts w:ascii="Times New Roman" w:hAnsi="Times New Roman"/>
          <w:b w:val="0"/>
          <w:sz w:val="24"/>
        </w:rPr>
        <w:t xml:space="preserve"> condensate tanks </w:t>
      </w:r>
      <w:r w:rsidRPr="00D15774">
        <w:t>constructed or modified after August 23, 2011, with 6 tpy of VOC of uncontrolled emissions</w:t>
      </w:r>
      <w:r w:rsidRPr="00D15774">
        <w:rPr>
          <w:rStyle w:val="FigureChar"/>
          <w:rFonts w:ascii="Times New Roman" w:hAnsi="Times New Roman"/>
          <w:b w:val="0"/>
          <w:sz w:val="24"/>
        </w:rPr>
        <w:t xml:space="preserve"> to reduce VOC by 95%. </w:t>
      </w:r>
      <w:r w:rsidRPr="00D15774">
        <w:t xml:space="preserve"> </w:t>
      </w:r>
      <w:r w:rsidR="006B4732" w:rsidRPr="00D15774">
        <w:t>As</w:t>
      </w:r>
      <w:r w:rsidR="00042617" w:rsidRPr="00D15774">
        <w:t xml:space="preserve"> </w:t>
      </w:r>
      <w:r w:rsidR="007E2062" w:rsidRPr="00D15774">
        <w:t xml:space="preserve">is the case </w:t>
      </w:r>
      <w:r w:rsidR="00042617" w:rsidRPr="00D15774">
        <w:t xml:space="preserve">for other categories the State of New Mexico has no existing regulations on tank control requirements, so Subpart OOOO would likely reduce VOC emissions from storage tanks </w:t>
      </w:r>
      <w:r w:rsidR="007E2062" w:rsidRPr="00D15774">
        <w:t>in future inventories for</w:t>
      </w:r>
      <w:r w:rsidR="00042617" w:rsidRPr="00D15774">
        <w:t xml:space="preserve"> the South San Juan Basin.</w:t>
      </w:r>
    </w:p>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F4188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rPr>
          <w:rStyle w:val="FigureChar"/>
          <w:rFonts w:ascii="Times New Roman" w:hAnsi="Times New Roman"/>
          <w:b w:val="0"/>
          <w:sz w:val="24"/>
        </w:rPr>
        <w:t xml:space="preserve">Regarding gas fired engines NSPS Subpart OOOO addresses VOC emissions, mandating 95% </w:t>
      </w:r>
      <w:r w:rsidRPr="00D15774">
        <w:rPr>
          <w:rStyle w:val="FigureChar"/>
          <w:rFonts w:ascii="Times New Roman" w:hAnsi="Times New Roman"/>
          <w:b w:val="0"/>
          <w:sz w:val="24"/>
        </w:rPr>
        <w:lastRenderedPageBreak/>
        <w:t xml:space="preserve">control of centrifugal units that have a wet seal system, and a maintenance schedule to replace rod packing every 26,000 hours (or 3 months) for reciprocating engines.  </w:t>
      </w:r>
      <w:r w:rsidR="006B4732" w:rsidRPr="00D15774">
        <w:t>T</w:t>
      </w:r>
      <w:r w:rsidR="00042617" w:rsidRPr="00D15774">
        <w:t>he State of New Mexico has no existing regulations on compressor fugitive emissions, so Subpart OOOO would likely reduce VOC emissions in future inventories from this source category in the South San Juan Basin.</w:t>
      </w:r>
    </w:p>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F4188E"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Regarding the </w:t>
      </w:r>
      <w:r w:rsidR="00956808" w:rsidRPr="00D15774">
        <w:t>federal</w:t>
      </w:r>
      <w:r w:rsidR="00991A85" w:rsidRPr="00D15774">
        <w:t xml:space="preserve"> r</w:t>
      </w:r>
      <w:r w:rsidRPr="00D15774">
        <w:t xml:space="preserve">ules for </w:t>
      </w:r>
      <w:r w:rsidR="006E24A5" w:rsidRPr="00D15774">
        <w:t>“P</w:t>
      </w:r>
      <w:r w:rsidRPr="00D15774">
        <w:t>ermitting of</w:t>
      </w:r>
      <w:r w:rsidR="00991A85" w:rsidRPr="00D15774">
        <w:t xml:space="preserve"> </w:t>
      </w:r>
      <w:r w:rsidR="006E24A5" w:rsidRPr="00D15774">
        <w:t>Minor S</w:t>
      </w:r>
      <w:r w:rsidRPr="00D15774">
        <w:t>ources on Indian Lands</w:t>
      </w:r>
      <w:r w:rsidR="006E24A5" w:rsidRPr="00D15774">
        <w:t>”</w:t>
      </w:r>
      <w:r w:rsidRPr="00D15774">
        <w:t>, in the South San Juan Basin Indian Lands comprise a small portion of the VOC sources</w:t>
      </w:r>
      <w:r w:rsidR="00F4188E" w:rsidRPr="00D15774">
        <w:t xml:space="preserve">.  Although newly constructed sources like field compressors, artificial lift engines and heaters will have lower emissions than </w:t>
      </w:r>
      <w:r w:rsidR="00C0085C" w:rsidRPr="00D15774">
        <w:t xml:space="preserve">previously projected due to </w:t>
      </w:r>
      <w:r w:rsidR="00F4188E" w:rsidRPr="00D15774">
        <w:t xml:space="preserve">federal </w:t>
      </w:r>
      <w:r w:rsidR="00C0085C" w:rsidRPr="00D15774">
        <w:t>p</w:t>
      </w:r>
      <w:r w:rsidR="001435A6" w:rsidRPr="00D15774">
        <w:t xml:space="preserve">ermitting </w:t>
      </w:r>
      <w:r w:rsidR="00F4188E" w:rsidRPr="00D15774">
        <w:t>re</w:t>
      </w:r>
      <w:r w:rsidR="00C0085C" w:rsidRPr="00D15774">
        <w:t>view</w:t>
      </w:r>
      <w:r w:rsidR="00F4188E" w:rsidRPr="00D15774">
        <w:t xml:space="preserve">, there will </w:t>
      </w:r>
      <w:r w:rsidR="00C0085C" w:rsidRPr="00D15774">
        <w:t xml:space="preserve">also </w:t>
      </w:r>
      <w:r w:rsidR="00F4188E" w:rsidRPr="00D15774">
        <w:t xml:space="preserve">likely be a number of existing sources that were never reported in the past.  These newly captured sources will now be included in emission inventories due to federal reporting requirements.  Thus we may </w:t>
      </w:r>
      <w:r w:rsidR="005631F1" w:rsidRPr="00D15774">
        <w:t xml:space="preserve">actually </w:t>
      </w:r>
      <w:r w:rsidR="00F4188E" w:rsidRPr="00D15774">
        <w:t xml:space="preserve">see some increased </w:t>
      </w:r>
      <w:r w:rsidR="001435A6" w:rsidRPr="00D15774">
        <w:t xml:space="preserve">VOC </w:t>
      </w:r>
      <w:r w:rsidR="00F4188E" w:rsidRPr="00D15774">
        <w:t xml:space="preserve">emissions show up </w:t>
      </w:r>
      <w:r w:rsidR="007E2062" w:rsidRPr="00D15774">
        <w:t>in future emission inventories for</w:t>
      </w:r>
      <w:r w:rsidR="00F4188E" w:rsidRPr="00D15774">
        <w:t xml:space="preserve"> </w:t>
      </w:r>
      <w:r w:rsidR="00765567" w:rsidRPr="00D15774">
        <w:t>Tribal Lands</w:t>
      </w:r>
      <w:r w:rsidR="00F4188E" w:rsidRPr="00D15774">
        <w:t xml:space="preserve"> in the South San Juan basin </w:t>
      </w:r>
      <w:r w:rsidR="003104F0" w:rsidRPr="00D15774">
        <w:t xml:space="preserve">due to this </w:t>
      </w:r>
      <w:r w:rsidR="007E2062" w:rsidRPr="00D15774">
        <w:t xml:space="preserve">federal </w:t>
      </w:r>
      <w:r w:rsidR="003104F0" w:rsidRPr="00D15774">
        <w:t>permitting regulation</w:t>
      </w:r>
      <w:r w:rsidR="00F4188E" w:rsidRPr="00D15774">
        <w:t>.</w:t>
      </w:r>
    </w:p>
    <w:p w:rsidR="00042617" w:rsidRPr="00D15774" w:rsidRDefault="00042617" w:rsidP="00E1181C">
      <w:pPr>
        <w:pStyle w:val="Heading3"/>
        <w:rPr>
          <w:rFonts w:ascii="Times New Roman" w:hAnsi="Times New Roman" w:cs="Times New Roman"/>
        </w:rPr>
      </w:pPr>
      <w:r w:rsidRPr="00D15774">
        <w:rPr>
          <w:rFonts w:ascii="Times New Roman" w:hAnsi="Times New Roman" w:cs="Times New Roman"/>
        </w:rPr>
        <w:br w:type="page"/>
      </w:r>
      <w:bookmarkStart w:id="106" w:name="_Toc369087033"/>
      <w:r w:rsidRPr="00E47241">
        <w:rPr>
          <w:rFonts w:ascii="Times New Roman" w:hAnsi="Times New Roman" w:cs="Times New Roman"/>
          <w:color w:val="auto"/>
        </w:rPr>
        <w:lastRenderedPageBreak/>
        <w:t>Wind River Basin 2006 Emissions</w:t>
      </w:r>
      <w:bookmarkEnd w:id="106"/>
      <w:r w:rsidR="00E21C92" w:rsidRPr="00D15774">
        <w:rPr>
          <w:rFonts w:ascii="Times New Roman" w:hAnsi="Times New Roman" w:cs="Times New Roman"/>
        </w:rPr>
        <w:fldChar w:fldCharType="begin"/>
      </w:r>
      <w:r w:rsidRPr="00D15774">
        <w:rPr>
          <w:rFonts w:ascii="Times New Roman" w:hAnsi="Times New Roman" w:cs="Times New Roman"/>
        </w:rPr>
        <w:instrText xml:space="preserve"> TC \l3 "</w:instrText>
      </w:r>
      <w:bookmarkStart w:id="107" w:name="_Toc363192357"/>
      <w:r w:rsidRPr="00D15774">
        <w:rPr>
          <w:rFonts w:ascii="Times New Roman" w:hAnsi="Times New Roman" w:cs="Times New Roman"/>
        </w:rPr>
        <w:instrText>Wind River Basin 2006 Emissions</w:instrText>
      </w:r>
      <w:bookmarkEnd w:id="107"/>
      <w:r w:rsidR="00E21C92" w:rsidRPr="00D15774">
        <w:rPr>
          <w:rFonts w:ascii="Times New Roman" w:hAnsi="Times New Roman" w:cs="Times New Roman"/>
        </w:rPr>
        <w:fldChar w:fldCharType="end"/>
      </w:r>
    </w:p>
    <w:p w:rsidR="00042617" w:rsidRPr="00C47C14" w:rsidRDefault="00042617" w:rsidP="00C47C14">
      <w:pPr>
        <w:pStyle w:val="Heading4"/>
        <w:jc w:val="center"/>
        <w:rPr>
          <w:rFonts w:ascii="Times New Roman" w:hAnsi="Times New Roman" w:cs="Times New Roman"/>
          <w:i w:val="0"/>
        </w:rPr>
      </w:pPr>
      <w:bookmarkStart w:id="108" w:name="_Toc369087034"/>
      <w:r w:rsidRPr="00C47C14">
        <w:rPr>
          <w:rFonts w:ascii="Times New Roman" w:hAnsi="Times New Roman" w:cs="Times New Roman"/>
          <w:i w:val="0"/>
          <w:color w:val="auto"/>
        </w:rPr>
        <w:t>Figure 7: Wind River Basin Boundaries Overlaid With 2006 O</w:t>
      </w:r>
      <w:r w:rsidR="007F272E">
        <w:rPr>
          <w:rFonts w:ascii="Times New Roman" w:hAnsi="Times New Roman" w:cs="Times New Roman"/>
          <w:i w:val="0"/>
          <w:color w:val="auto"/>
        </w:rPr>
        <w:t>&amp;G</w:t>
      </w:r>
      <w:r w:rsidRPr="00C47C14">
        <w:rPr>
          <w:rFonts w:ascii="Times New Roman" w:hAnsi="Times New Roman" w:cs="Times New Roman"/>
          <w:i w:val="0"/>
          <w:color w:val="auto"/>
        </w:rPr>
        <w:t xml:space="preserve"> Well Locations</w:t>
      </w:r>
      <w:bookmarkEnd w:id="108"/>
      <w:r w:rsidR="00E21C92" w:rsidRPr="00C47C14">
        <w:rPr>
          <w:rFonts w:ascii="Times New Roman" w:hAnsi="Times New Roman" w:cs="Times New Roman"/>
          <w:i w:val="0"/>
        </w:rPr>
        <w:fldChar w:fldCharType="begin"/>
      </w:r>
      <w:r w:rsidRPr="00C47C14">
        <w:rPr>
          <w:rFonts w:ascii="Times New Roman" w:hAnsi="Times New Roman" w:cs="Times New Roman"/>
          <w:i w:val="0"/>
        </w:rPr>
        <w:instrText xml:space="preserve"> TC \l4 "</w:instrText>
      </w:r>
      <w:bookmarkStart w:id="109" w:name="_Toc363192358"/>
      <w:r w:rsidRPr="00C47C14">
        <w:rPr>
          <w:rFonts w:ascii="Times New Roman" w:hAnsi="Times New Roman" w:cs="Times New Roman"/>
          <w:i w:val="0"/>
        </w:rPr>
        <w:instrText>Figure 7: Wind River Basin Boundaries Overlaid With 2006 O</w:instrText>
      </w:r>
      <w:r w:rsidR="007F272E">
        <w:rPr>
          <w:rFonts w:ascii="Times New Roman" w:hAnsi="Times New Roman" w:cs="Times New Roman"/>
          <w:i w:val="0"/>
        </w:rPr>
        <w:instrText>&amp;</w:instrText>
      </w:r>
      <w:r w:rsidRPr="00C47C14">
        <w:rPr>
          <w:rFonts w:ascii="Times New Roman" w:hAnsi="Times New Roman" w:cs="Times New Roman"/>
          <w:i w:val="0"/>
        </w:rPr>
        <w:instrText>G Well Locations</w:instrText>
      </w:r>
      <w:bookmarkEnd w:id="109"/>
      <w:r w:rsidR="00E21C92" w:rsidRPr="00C47C14">
        <w:rPr>
          <w:rFonts w:ascii="Times New Roman" w:hAnsi="Times New Roman" w:cs="Times New Roman"/>
          <w:i w:val="0"/>
        </w:rPr>
        <w:fldChar w:fldCharType="end"/>
      </w:r>
    </w:p>
    <w:p w:rsidR="00042617" w:rsidRPr="00D15774" w:rsidRDefault="007376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rPr>
          <w:noProof/>
        </w:rPr>
        <mc:AlternateContent>
          <mc:Choice Requires="wps">
            <w:drawing>
              <wp:inline distT="0" distB="0" distL="0" distR="0" wp14:anchorId="73E1BCBE" wp14:editId="3612BF28">
                <wp:extent cx="5829300" cy="6939280"/>
                <wp:effectExtent l="0" t="0" r="0" b="4445"/>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939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938" w:rsidRDefault="00645938">
                            <w:r>
                              <w:object w:dxaOrig="9180" w:dyaOrig="10928">
                                <v:shape id="_x0000_i1026" type="#_x0000_t75" style="width:483.8pt;height:521.8pt" o:ole="">
                                  <v:imagedata r:id="rId46" o:title=""/>
                                </v:shape>
                                <o:OLEObject Type="Embed" ProgID="Presentations.Drawing.16" ShapeID="_x0000_i1026" DrawAspect="Content" ObjectID="_1445544526" r:id="rId47"/>
                              </w:object>
                            </w:r>
                          </w:p>
                        </w:txbxContent>
                      </wps:txbx>
                      <wps:bodyPr rot="0" vert="horz" wrap="none" lIns="0" tIns="0" rIns="0" bIns="0" anchor="t" anchorCtr="0" upright="1">
                        <a:spAutoFit/>
                      </wps:bodyPr>
                    </wps:wsp>
                  </a:graphicData>
                </a:graphic>
              </wp:inline>
            </w:drawing>
          </mc:Choice>
          <mc:Fallback>
            <w:pict>
              <v:shape w14:anchorId="73E1BCBE" id="Text Box 5" o:spid="_x0000_s1028" type="#_x0000_t202" style="width:459pt;height:546.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" stroked="f">
                <v:textbox style="mso-fit-shape-to-text:t" inset="0,0,0,0">
                  <w:txbxContent>
                    <w:p w:rsidR="00645938" w:rsidRDefault="00645938">
                      <w:r>
                        <w:object w:dxaOrig="9180" w:dyaOrig="10928">
                          <v:shape id="_x0000_i1026" type="#_x0000_t75" style="width:483.8pt;height:521.8pt" o:ole="">
                            <v:imagedata r:id="rId46" o:title=""/>
                          </v:shape>
                          <o:OLEObject Type="Embed" ProgID="Presentations.Drawing.16" ShapeID="_x0000_i1026" DrawAspect="Content" ObjectID="_1445544526" r:id="rId48"/>
                        </w:object>
                      </w:r>
                    </w:p>
                  </w:txbxContent>
                </v:textbox>
                <w10:anchorlock/>
              </v:shape>
            </w:pict>
          </mc:Fallback>
        </mc:AlternateContent>
      </w:r>
    </w:p>
    <w:p w:rsidR="007F197C" w:rsidRPr="00D15774" w:rsidRDefault="007F197C">
      <w:r w:rsidRPr="00D15774">
        <w:br w:type="page"/>
      </w:r>
    </w:p>
    <w:p w:rsidR="00042617" w:rsidRPr="00D15774" w:rsidRDefault="00A04C7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lastRenderedPageBreak/>
        <w:t>Table 1</w:t>
      </w:r>
      <w:r w:rsidR="00416BE9" w:rsidRPr="00D15774">
        <w:t>5</w:t>
      </w:r>
      <w:r w:rsidR="00042617" w:rsidRPr="00D15774">
        <w:t xml:space="preserve"> contains a listing of the Wind River Basin NOx emissions from the </w:t>
      </w:r>
      <w:r w:rsidR="0099797E" w:rsidRPr="00D15774">
        <w:t>ENVIRON</w:t>
      </w:r>
      <w:r w:rsidR="00042617" w:rsidRPr="00D15774">
        <w:t>’s July 14, 2010 Technical Memo, “DEVELOPMENT OF BASELINE 2006 EMISSIONS FROM OIL AND GAS ACTIVITY IN THE WIND RIVER BASIN” located at:</w:t>
      </w:r>
    </w:p>
    <w:p w:rsidR="007B0230" w:rsidRPr="00D15774" w:rsidRDefault="007B02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645938" w:rsidP="007E206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Cs w:val="24"/>
        </w:rPr>
      </w:pPr>
      <w:hyperlink r:id="rId49" w:history="1">
        <w:r w:rsidR="007E2062" w:rsidRPr="00D15774">
          <w:rPr>
            <w:rStyle w:val="Hyperlink"/>
            <w:sz w:val="24"/>
            <w:szCs w:val="24"/>
          </w:rPr>
          <w:t>http://www.wrapair.org/forums/ogwg/documents/2010-07_'06%20Baseline;%20Wind%20RiverBasin%20Technical%20Memo%20(07-14).pdf</w:t>
        </w:r>
      </w:hyperlink>
    </w:p>
    <w:p w:rsidR="007E2062" w:rsidRPr="00D15774" w:rsidRDefault="007E2062" w:rsidP="007E206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pPr>
    </w:p>
    <w:p w:rsidR="00042617" w:rsidRPr="00C47C14" w:rsidRDefault="00042617" w:rsidP="00C47C14">
      <w:pPr>
        <w:pStyle w:val="Heading4"/>
        <w:jc w:val="center"/>
        <w:rPr>
          <w:rFonts w:ascii="Times New Roman" w:hAnsi="Times New Roman" w:cs="Times New Roman"/>
          <w:i w:val="0"/>
        </w:rPr>
      </w:pPr>
      <w:bookmarkStart w:id="110" w:name="_Toc369087035"/>
      <w:r w:rsidRPr="00C47C14">
        <w:rPr>
          <w:rFonts w:ascii="Times New Roman" w:hAnsi="Times New Roman" w:cs="Times New Roman"/>
          <w:i w:val="0"/>
          <w:color w:val="auto"/>
        </w:rPr>
        <w:t>Table 1</w:t>
      </w:r>
      <w:r w:rsidR="00416BE9" w:rsidRPr="00C47C14">
        <w:rPr>
          <w:rFonts w:ascii="Times New Roman" w:hAnsi="Times New Roman" w:cs="Times New Roman"/>
          <w:i w:val="0"/>
          <w:color w:val="auto"/>
        </w:rPr>
        <w:t>5</w:t>
      </w:r>
      <w:r w:rsidRPr="00C47C14">
        <w:rPr>
          <w:rFonts w:ascii="Times New Roman" w:hAnsi="Times New Roman" w:cs="Times New Roman"/>
          <w:i w:val="0"/>
          <w:color w:val="auto"/>
        </w:rPr>
        <w:t>: Wind River Basin 2006 NOx Emission Sources (</w:t>
      </w:r>
      <w:r w:rsidR="0059687A" w:rsidRPr="00C47C14">
        <w:rPr>
          <w:rFonts w:ascii="Times New Roman" w:hAnsi="Times New Roman" w:cs="Times New Roman"/>
          <w:i w:val="0"/>
          <w:color w:val="auto"/>
        </w:rPr>
        <w:t>tpy</w:t>
      </w:r>
      <w:r w:rsidRPr="00C47C14">
        <w:rPr>
          <w:rFonts w:ascii="Times New Roman" w:hAnsi="Times New Roman" w:cs="Times New Roman"/>
          <w:i w:val="0"/>
          <w:color w:val="auto"/>
        </w:rPr>
        <w:t>)</w:t>
      </w:r>
      <w:bookmarkEnd w:id="110"/>
      <w:r w:rsidR="00E21C92" w:rsidRPr="00C47C14">
        <w:rPr>
          <w:rFonts w:ascii="Times New Roman" w:hAnsi="Times New Roman" w:cs="Times New Roman"/>
          <w:i w:val="0"/>
        </w:rPr>
        <w:fldChar w:fldCharType="begin"/>
      </w:r>
      <w:r w:rsidRPr="00C47C14">
        <w:rPr>
          <w:rFonts w:ascii="Times New Roman" w:hAnsi="Times New Roman" w:cs="Times New Roman"/>
          <w:i w:val="0"/>
        </w:rPr>
        <w:instrText xml:space="preserve"> TC \l4 "</w:instrText>
      </w:r>
      <w:bookmarkStart w:id="111" w:name="_Toc363192359"/>
      <w:r w:rsidRPr="00C47C14">
        <w:rPr>
          <w:rFonts w:ascii="Times New Roman" w:hAnsi="Times New Roman" w:cs="Times New Roman"/>
          <w:i w:val="0"/>
        </w:rPr>
        <w:instrText>Table 13: Wind River Basin 2006 NOx Emission Sources (TPY)</w:instrText>
      </w:r>
      <w:bookmarkEnd w:id="111"/>
      <w:r w:rsidR="00E21C92" w:rsidRPr="00C47C14">
        <w:rPr>
          <w:rFonts w:ascii="Times New Roman" w:hAnsi="Times New Roman" w:cs="Times New Roman"/>
          <w:i w:val="0"/>
        </w:rPr>
        <w:fldChar w:fldCharType="end"/>
      </w:r>
    </w:p>
    <w:tbl>
      <w:tblPr>
        <w:tblW w:w="0" w:type="auto"/>
        <w:jc w:val="center"/>
        <w:tblBorders>
          <w:top w:val="nil"/>
          <w:left w:val="nil"/>
          <w:bottom w:val="nil"/>
          <w:right w:val="nil"/>
          <w:insideH w:val="nil"/>
          <w:insideV w:val="nil"/>
        </w:tblBorders>
        <w:tblLayout w:type="fixed"/>
        <w:tblCellMar>
          <w:left w:w="85" w:type="dxa"/>
          <w:right w:w="85" w:type="dxa"/>
        </w:tblCellMar>
        <w:tblLook w:val="0000" w:firstRow="0" w:lastRow="0" w:firstColumn="0" w:lastColumn="0" w:noHBand="0" w:noVBand="0"/>
      </w:tblPr>
      <w:tblGrid>
        <w:gridCol w:w="1776"/>
        <w:gridCol w:w="1277"/>
        <w:gridCol w:w="606"/>
        <w:gridCol w:w="876"/>
        <w:gridCol w:w="1046"/>
        <w:gridCol w:w="1277"/>
        <w:gridCol w:w="1146"/>
        <w:gridCol w:w="1073"/>
      </w:tblGrid>
      <w:tr w:rsidR="00042617" w:rsidRPr="00D15774" w:rsidTr="007F197C">
        <w:trPr>
          <w:trHeight w:val="377"/>
          <w:jc w:val="center"/>
        </w:trPr>
        <w:tc>
          <w:tcPr>
            <w:tcW w:w="1776"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rsidP="007F197C">
            <w:pPr>
              <w:keepNext/>
              <w:keepLines/>
              <w:widowControl w:val="0"/>
              <w:tabs>
                <w:tab w:val="left" w:pos="-9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left="-868" w:hanging="45"/>
              <w:jc w:val="center"/>
              <w:rPr>
                <w:sz w:val="22"/>
                <w:szCs w:val="22"/>
              </w:rPr>
            </w:pPr>
          </w:p>
        </w:tc>
        <w:tc>
          <w:tcPr>
            <w:tcW w:w="1277"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2"/>
                <w:szCs w:val="22"/>
              </w:rPr>
            </w:pPr>
            <w:r w:rsidRPr="00D15774">
              <w:rPr>
                <w:sz w:val="22"/>
                <w:szCs w:val="22"/>
              </w:rPr>
              <w:t>Compressor Engines</w:t>
            </w:r>
          </w:p>
        </w:tc>
        <w:tc>
          <w:tcPr>
            <w:tcW w:w="606"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2"/>
                <w:szCs w:val="22"/>
              </w:rPr>
            </w:pPr>
            <w:r w:rsidRPr="00D15774">
              <w:rPr>
                <w:sz w:val="22"/>
                <w:szCs w:val="22"/>
              </w:rPr>
              <w:t>Drill Rigs</w:t>
            </w:r>
          </w:p>
        </w:tc>
        <w:tc>
          <w:tcPr>
            <w:tcW w:w="876"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2"/>
                <w:szCs w:val="22"/>
              </w:rPr>
            </w:pPr>
            <w:r w:rsidRPr="00D15774">
              <w:rPr>
                <w:sz w:val="22"/>
                <w:szCs w:val="22"/>
              </w:rPr>
              <w:t>Heaters</w:t>
            </w:r>
          </w:p>
        </w:tc>
        <w:tc>
          <w:tcPr>
            <w:tcW w:w="1046"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2"/>
                <w:szCs w:val="22"/>
              </w:rPr>
            </w:pPr>
            <w:r w:rsidRPr="00D15774">
              <w:rPr>
                <w:sz w:val="22"/>
                <w:szCs w:val="22"/>
              </w:rPr>
              <w:t>Workover Rigs</w:t>
            </w:r>
          </w:p>
        </w:tc>
        <w:tc>
          <w:tcPr>
            <w:tcW w:w="1277"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2"/>
                <w:szCs w:val="22"/>
              </w:rPr>
            </w:pPr>
            <w:r w:rsidRPr="00D15774">
              <w:rPr>
                <w:sz w:val="22"/>
                <w:szCs w:val="22"/>
              </w:rPr>
              <w:t>Dehydrators</w:t>
            </w:r>
          </w:p>
        </w:tc>
        <w:tc>
          <w:tcPr>
            <w:tcW w:w="1146"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2"/>
                <w:szCs w:val="22"/>
              </w:rPr>
            </w:pPr>
            <w:r w:rsidRPr="00D15774">
              <w:rPr>
                <w:sz w:val="22"/>
                <w:szCs w:val="22"/>
              </w:rPr>
              <w:t>Other Categories</w:t>
            </w:r>
          </w:p>
        </w:tc>
        <w:tc>
          <w:tcPr>
            <w:tcW w:w="1073"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7F197C" w:rsidRPr="00D15774" w:rsidRDefault="007F197C">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2"/>
                <w:szCs w:val="22"/>
              </w:rPr>
            </w:pPr>
            <w:r w:rsidRPr="00D15774">
              <w:rPr>
                <w:sz w:val="22"/>
                <w:szCs w:val="22"/>
              </w:rPr>
              <w:t>Grand</w:t>
            </w:r>
          </w:p>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2"/>
                <w:szCs w:val="22"/>
              </w:rPr>
            </w:pPr>
            <w:r w:rsidRPr="00D15774">
              <w:rPr>
                <w:sz w:val="22"/>
                <w:szCs w:val="22"/>
              </w:rPr>
              <w:t>Total</w:t>
            </w:r>
          </w:p>
        </w:tc>
      </w:tr>
      <w:tr w:rsidR="00042617" w:rsidRPr="00D15774" w:rsidTr="007F197C">
        <w:trPr>
          <w:trHeight w:val="254"/>
          <w:jc w:val="center"/>
        </w:trPr>
        <w:tc>
          <w:tcPr>
            <w:tcW w:w="1776" w:type="dxa"/>
            <w:tcBorders>
              <w:top w:val="single" w:sz="10" w:space="0" w:color="000000"/>
              <w:left w:val="single" w:sz="10" w:space="0" w:color="000000"/>
              <w:bottom w:val="single" w:sz="10" w:space="0" w:color="000000"/>
              <w:right w:val="single" w:sz="10" w:space="0" w:color="000000"/>
            </w:tcBorders>
            <w:tcMar>
              <w:left w:w="0"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2"/>
                <w:szCs w:val="22"/>
              </w:rPr>
            </w:pPr>
            <w:r w:rsidRPr="00D15774">
              <w:rPr>
                <w:sz w:val="22"/>
                <w:szCs w:val="22"/>
              </w:rPr>
              <w:t>Total Tons</w:t>
            </w:r>
          </w:p>
        </w:tc>
        <w:tc>
          <w:tcPr>
            <w:tcW w:w="1277"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2"/>
                <w:szCs w:val="22"/>
              </w:rPr>
            </w:pPr>
            <w:r w:rsidRPr="00D15774">
              <w:rPr>
                <w:sz w:val="22"/>
                <w:szCs w:val="22"/>
              </w:rPr>
              <w:t>1,290</w:t>
            </w:r>
          </w:p>
        </w:tc>
        <w:tc>
          <w:tcPr>
            <w:tcW w:w="606"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b/>
                <w:sz w:val="22"/>
                <w:szCs w:val="22"/>
              </w:rPr>
            </w:pPr>
            <w:r w:rsidRPr="00D15774">
              <w:rPr>
                <w:sz w:val="22"/>
                <w:szCs w:val="22"/>
              </w:rPr>
              <w:t>218</w:t>
            </w:r>
          </w:p>
        </w:tc>
        <w:tc>
          <w:tcPr>
            <w:tcW w:w="876"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b/>
                <w:sz w:val="22"/>
                <w:szCs w:val="22"/>
              </w:rPr>
            </w:pPr>
            <w:r w:rsidRPr="00D15774">
              <w:rPr>
                <w:sz w:val="22"/>
                <w:szCs w:val="22"/>
              </w:rPr>
              <w:t>145</w:t>
            </w:r>
          </w:p>
        </w:tc>
        <w:tc>
          <w:tcPr>
            <w:tcW w:w="1046"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b/>
                <w:sz w:val="22"/>
                <w:szCs w:val="22"/>
              </w:rPr>
            </w:pPr>
            <w:r w:rsidRPr="00D15774">
              <w:rPr>
                <w:sz w:val="22"/>
                <w:szCs w:val="22"/>
              </w:rPr>
              <w:t>62</w:t>
            </w:r>
          </w:p>
        </w:tc>
        <w:tc>
          <w:tcPr>
            <w:tcW w:w="1277"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b/>
                <w:sz w:val="22"/>
                <w:szCs w:val="22"/>
              </w:rPr>
            </w:pPr>
            <w:r w:rsidRPr="00D15774">
              <w:rPr>
                <w:sz w:val="22"/>
                <w:szCs w:val="22"/>
              </w:rPr>
              <w:t>17</w:t>
            </w:r>
          </w:p>
        </w:tc>
        <w:tc>
          <w:tcPr>
            <w:tcW w:w="1146"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b/>
                <w:sz w:val="22"/>
                <w:szCs w:val="22"/>
              </w:rPr>
            </w:pPr>
            <w:r w:rsidRPr="00D15774">
              <w:rPr>
                <w:sz w:val="22"/>
                <w:szCs w:val="22"/>
              </w:rPr>
              <w:t>82</w:t>
            </w:r>
          </w:p>
        </w:tc>
        <w:tc>
          <w:tcPr>
            <w:tcW w:w="1073"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2"/>
                <w:szCs w:val="22"/>
              </w:rPr>
            </w:pPr>
            <w:r w:rsidRPr="00D15774">
              <w:rPr>
                <w:sz w:val="22"/>
                <w:szCs w:val="22"/>
              </w:rPr>
              <w:t>1,814</w:t>
            </w:r>
          </w:p>
        </w:tc>
      </w:tr>
      <w:tr w:rsidR="00042617" w:rsidRPr="00D15774" w:rsidTr="007F197C">
        <w:trPr>
          <w:trHeight w:val="254"/>
          <w:jc w:val="center"/>
        </w:trPr>
        <w:tc>
          <w:tcPr>
            <w:tcW w:w="1776" w:type="dxa"/>
            <w:tcBorders>
              <w:top w:val="single" w:sz="10" w:space="0" w:color="000000"/>
              <w:left w:val="single" w:sz="10" w:space="0" w:color="000000"/>
              <w:bottom w:val="single" w:sz="10" w:space="0" w:color="000000"/>
              <w:right w:val="single" w:sz="10" w:space="0" w:color="000000"/>
            </w:tcBorders>
            <w:tcMar>
              <w:left w:w="0"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2"/>
                <w:szCs w:val="22"/>
              </w:rPr>
            </w:pPr>
            <w:r w:rsidRPr="00D15774">
              <w:rPr>
                <w:sz w:val="22"/>
                <w:szCs w:val="22"/>
              </w:rPr>
              <w:t>Percent of Total</w:t>
            </w:r>
          </w:p>
        </w:tc>
        <w:tc>
          <w:tcPr>
            <w:tcW w:w="1277"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2"/>
                <w:szCs w:val="22"/>
              </w:rPr>
            </w:pPr>
            <w:r w:rsidRPr="00D15774">
              <w:rPr>
                <w:sz w:val="22"/>
                <w:szCs w:val="22"/>
              </w:rPr>
              <w:t>71%</w:t>
            </w:r>
          </w:p>
        </w:tc>
        <w:tc>
          <w:tcPr>
            <w:tcW w:w="606"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2"/>
                <w:szCs w:val="22"/>
              </w:rPr>
            </w:pPr>
            <w:r w:rsidRPr="00D15774">
              <w:rPr>
                <w:sz w:val="22"/>
                <w:szCs w:val="22"/>
              </w:rPr>
              <w:t>12%</w:t>
            </w:r>
          </w:p>
        </w:tc>
        <w:tc>
          <w:tcPr>
            <w:tcW w:w="876"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2"/>
                <w:szCs w:val="22"/>
              </w:rPr>
            </w:pPr>
            <w:r w:rsidRPr="00D15774">
              <w:rPr>
                <w:sz w:val="22"/>
                <w:szCs w:val="22"/>
              </w:rPr>
              <w:t>8%</w:t>
            </w:r>
          </w:p>
        </w:tc>
        <w:tc>
          <w:tcPr>
            <w:tcW w:w="1046"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2"/>
                <w:szCs w:val="22"/>
              </w:rPr>
            </w:pPr>
            <w:r w:rsidRPr="00D15774">
              <w:rPr>
                <w:sz w:val="22"/>
                <w:szCs w:val="22"/>
              </w:rPr>
              <w:t>3%</w:t>
            </w:r>
          </w:p>
        </w:tc>
        <w:tc>
          <w:tcPr>
            <w:tcW w:w="1277"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2"/>
                <w:szCs w:val="22"/>
              </w:rPr>
            </w:pPr>
            <w:r w:rsidRPr="00D15774">
              <w:rPr>
                <w:sz w:val="22"/>
                <w:szCs w:val="22"/>
              </w:rPr>
              <w:t>1%</w:t>
            </w:r>
          </w:p>
        </w:tc>
        <w:tc>
          <w:tcPr>
            <w:tcW w:w="1146"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2"/>
                <w:szCs w:val="22"/>
              </w:rPr>
            </w:pPr>
            <w:r w:rsidRPr="00D15774">
              <w:rPr>
                <w:sz w:val="22"/>
                <w:szCs w:val="22"/>
              </w:rPr>
              <w:t>5%</w:t>
            </w:r>
          </w:p>
        </w:tc>
        <w:tc>
          <w:tcPr>
            <w:tcW w:w="1073"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2"/>
                <w:szCs w:val="22"/>
              </w:rPr>
            </w:pPr>
            <w:r w:rsidRPr="00D15774">
              <w:rPr>
                <w:sz w:val="22"/>
                <w:szCs w:val="22"/>
              </w:rPr>
              <w:t>100%</w:t>
            </w:r>
          </w:p>
        </w:tc>
      </w:tr>
      <w:tr w:rsidR="00042617" w:rsidRPr="00D15774" w:rsidTr="007F197C">
        <w:trPr>
          <w:trHeight w:hRule="exact" w:val="144"/>
          <w:jc w:val="center"/>
        </w:trPr>
        <w:tc>
          <w:tcPr>
            <w:tcW w:w="177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2"/>
                <w:szCs w:val="22"/>
              </w:rPr>
            </w:pPr>
          </w:p>
        </w:tc>
        <w:tc>
          <w:tcPr>
            <w:tcW w:w="127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2"/>
                <w:szCs w:val="22"/>
              </w:rPr>
            </w:pPr>
          </w:p>
        </w:tc>
        <w:tc>
          <w:tcPr>
            <w:tcW w:w="60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2"/>
                <w:szCs w:val="22"/>
              </w:rPr>
            </w:pPr>
          </w:p>
        </w:tc>
        <w:tc>
          <w:tcPr>
            <w:tcW w:w="87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2"/>
                <w:szCs w:val="22"/>
              </w:rPr>
            </w:pPr>
          </w:p>
        </w:tc>
        <w:tc>
          <w:tcPr>
            <w:tcW w:w="104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2"/>
                <w:szCs w:val="22"/>
              </w:rPr>
            </w:pPr>
          </w:p>
        </w:tc>
        <w:tc>
          <w:tcPr>
            <w:tcW w:w="127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2"/>
                <w:szCs w:val="22"/>
              </w:rPr>
            </w:pPr>
          </w:p>
        </w:tc>
        <w:tc>
          <w:tcPr>
            <w:tcW w:w="114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2"/>
                <w:szCs w:val="22"/>
              </w:rPr>
            </w:pPr>
          </w:p>
        </w:tc>
        <w:tc>
          <w:tcPr>
            <w:tcW w:w="1073"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2"/>
                <w:szCs w:val="22"/>
              </w:rPr>
            </w:pPr>
          </w:p>
        </w:tc>
      </w:tr>
      <w:tr w:rsidR="00042617" w:rsidRPr="00D15774" w:rsidTr="007F197C">
        <w:trPr>
          <w:trHeight w:val="254"/>
          <w:jc w:val="center"/>
        </w:trPr>
        <w:tc>
          <w:tcPr>
            <w:tcW w:w="1776" w:type="dxa"/>
            <w:tcBorders>
              <w:top w:val="single" w:sz="10" w:space="0" w:color="000000"/>
              <w:left w:val="single" w:sz="10" w:space="0" w:color="000000"/>
              <w:bottom w:val="single" w:sz="10" w:space="0" w:color="000000"/>
              <w:right w:val="single" w:sz="10" w:space="0" w:color="000000"/>
            </w:tcBorders>
            <w:tcMar>
              <w:left w:w="0"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2"/>
                <w:szCs w:val="22"/>
              </w:rPr>
            </w:pPr>
            <w:r w:rsidRPr="00D15774">
              <w:rPr>
                <w:sz w:val="22"/>
                <w:szCs w:val="22"/>
              </w:rPr>
              <w:t>Total Tribal</w:t>
            </w:r>
          </w:p>
        </w:tc>
        <w:tc>
          <w:tcPr>
            <w:tcW w:w="1277"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2"/>
                <w:szCs w:val="22"/>
              </w:rPr>
            </w:pPr>
            <w:r w:rsidRPr="00D15774">
              <w:rPr>
                <w:sz w:val="22"/>
                <w:szCs w:val="22"/>
              </w:rPr>
              <w:t>213</w:t>
            </w:r>
          </w:p>
        </w:tc>
        <w:tc>
          <w:tcPr>
            <w:tcW w:w="606"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2"/>
                <w:szCs w:val="22"/>
              </w:rPr>
            </w:pPr>
            <w:r w:rsidRPr="00D15774">
              <w:rPr>
                <w:sz w:val="22"/>
                <w:szCs w:val="22"/>
              </w:rPr>
              <w:t>16</w:t>
            </w:r>
          </w:p>
        </w:tc>
        <w:tc>
          <w:tcPr>
            <w:tcW w:w="876"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2"/>
                <w:szCs w:val="22"/>
              </w:rPr>
            </w:pPr>
            <w:r w:rsidRPr="00D15774">
              <w:rPr>
                <w:sz w:val="22"/>
                <w:szCs w:val="22"/>
              </w:rPr>
              <w:t>43</w:t>
            </w:r>
          </w:p>
        </w:tc>
        <w:tc>
          <w:tcPr>
            <w:tcW w:w="1046"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2"/>
                <w:szCs w:val="22"/>
              </w:rPr>
            </w:pPr>
            <w:r w:rsidRPr="00D15774">
              <w:rPr>
                <w:sz w:val="22"/>
                <w:szCs w:val="22"/>
              </w:rPr>
              <w:t>18</w:t>
            </w:r>
          </w:p>
        </w:tc>
        <w:tc>
          <w:tcPr>
            <w:tcW w:w="1277"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2"/>
                <w:szCs w:val="22"/>
              </w:rPr>
            </w:pPr>
            <w:r w:rsidRPr="00D15774">
              <w:rPr>
                <w:sz w:val="22"/>
                <w:szCs w:val="22"/>
              </w:rPr>
              <w:t>10</w:t>
            </w:r>
          </w:p>
        </w:tc>
        <w:tc>
          <w:tcPr>
            <w:tcW w:w="1146"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2"/>
                <w:szCs w:val="22"/>
              </w:rPr>
            </w:pPr>
            <w:r w:rsidRPr="00D15774">
              <w:rPr>
                <w:sz w:val="22"/>
                <w:szCs w:val="22"/>
              </w:rPr>
              <w:t>37</w:t>
            </w:r>
          </w:p>
        </w:tc>
        <w:tc>
          <w:tcPr>
            <w:tcW w:w="1073"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2"/>
                <w:szCs w:val="22"/>
              </w:rPr>
            </w:pPr>
            <w:r w:rsidRPr="00D15774">
              <w:rPr>
                <w:sz w:val="22"/>
                <w:szCs w:val="22"/>
              </w:rPr>
              <w:t>337</w:t>
            </w:r>
          </w:p>
        </w:tc>
      </w:tr>
      <w:tr w:rsidR="00042617" w:rsidRPr="00D15774" w:rsidTr="007F197C">
        <w:trPr>
          <w:trHeight w:val="254"/>
          <w:jc w:val="center"/>
        </w:trPr>
        <w:tc>
          <w:tcPr>
            <w:tcW w:w="177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2"/>
                <w:szCs w:val="22"/>
              </w:rPr>
            </w:pPr>
            <w:r w:rsidRPr="00D15774">
              <w:rPr>
                <w:sz w:val="22"/>
                <w:szCs w:val="22"/>
              </w:rPr>
              <w:t>Total Nontribal</w:t>
            </w:r>
          </w:p>
        </w:tc>
        <w:tc>
          <w:tcPr>
            <w:tcW w:w="1277"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2"/>
                <w:szCs w:val="22"/>
              </w:rPr>
            </w:pPr>
            <w:r w:rsidRPr="00D15774">
              <w:rPr>
                <w:sz w:val="22"/>
                <w:szCs w:val="22"/>
              </w:rPr>
              <w:t>1,077</w:t>
            </w:r>
          </w:p>
        </w:tc>
        <w:tc>
          <w:tcPr>
            <w:tcW w:w="60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2"/>
                <w:szCs w:val="22"/>
              </w:rPr>
            </w:pPr>
            <w:r w:rsidRPr="00D15774">
              <w:rPr>
                <w:sz w:val="22"/>
                <w:szCs w:val="22"/>
              </w:rPr>
              <w:t>203</w:t>
            </w:r>
          </w:p>
        </w:tc>
        <w:tc>
          <w:tcPr>
            <w:tcW w:w="87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2"/>
                <w:szCs w:val="22"/>
              </w:rPr>
            </w:pPr>
            <w:r w:rsidRPr="00D15774">
              <w:rPr>
                <w:sz w:val="22"/>
                <w:szCs w:val="22"/>
              </w:rPr>
              <w:t>102</w:t>
            </w:r>
          </w:p>
        </w:tc>
        <w:tc>
          <w:tcPr>
            <w:tcW w:w="104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2"/>
                <w:szCs w:val="22"/>
              </w:rPr>
            </w:pPr>
            <w:r w:rsidRPr="00D15774">
              <w:rPr>
                <w:sz w:val="22"/>
                <w:szCs w:val="22"/>
              </w:rPr>
              <w:t>44</w:t>
            </w:r>
          </w:p>
        </w:tc>
        <w:tc>
          <w:tcPr>
            <w:tcW w:w="1277"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2"/>
                <w:szCs w:val="22"/>
              </w:rPr>
            </w:pPr>
            <w:r w:rsidRPr="00D15774">
              <w:rPr>
                <w:sz w:val="22"/>
                <w:szCs w:val="22"/>
              </w:rPr>
              <w:t>7</w:t>
            </w:r>
          </w:p>
        </w:tc>
        <w:tc>
          <w:tcPr>
            <w:tcW w:w="114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2"/>
                <w:szCs w:val="22"/>
              </w:rPr>
            </w:pPr>
            <w:r w:rsidRPr="00D15774">
              <w:rPr>
                <w:sz w:val="22"/>
                <w:szCs w:val="22"/>
              </w:rPr>
              <w:t>45</w:t>
            </w:r>
          </w:p>
        </w:tc>
        <w:tc>
          <w:tcPr>
            <w:tcW w:w="1073"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22"/>
                <w:szCs w:val="22"/>
              </w:rPr>
            </w:pPr>
            <w:r w:rsidRPr="00D15774">
              <w:rPr>
                <w:sz w:val="22"/>
                <w:szCs w:val="22"/>
              </w:rPr>
              <w:t>1,478</w:t>
            </w:r>
          </w:p>
        </w:tc>
      </w:tr>
    </w:tbl>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In the Wind River Basin compressors are the largest source category in 2006, </w:t>
      </w:r>
      <w:r w:rsidR="007E2062" w:rsidRPr="00D15774">
        <w:t>responsible for</w:t>
      </w:r>
      <w:r w:rsidRPr="00D15774">
        <w:t xml:space="preserve"> almost ¾ of the NOx emissions (71%).  This is followed by 1</w:t>
      </w:r>
      <w:r w:rsidR="001B5699" w:rsidRPr="00D15774">
        <w:t>5</w:t>
      </w:r>
      <w:r w:rsidRPr="00D15774">
        <w:t>% from drill</w:t>
      </w:r>
      <w:r w:rsidR="001B5699" w:rsidRPr="00D15774">
        <w:t xml:space="preserve"> (12%) and workover (3%) </w:t>
      </w:r>
      <w:r w:rsidRPr="00D15774">
        <w:t xml:space="preserve">rigs and </w:t>
      </w:r>
      <w:r w:rsidR="001B5699" w:rsidRPr="00D15774">
        <w:t xml:space="preserve">then </w:t>
      </w:r>
      <w:r w:rsidRPr="00D15774">
        <w:t>8% from gas fired heaters.</w:t>
      </w:r>
    </w:p>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As cited throughout this analysis </w:t>
      </w:r>
      <w:r w:rsidR="001B5699" w:rsidRPr="00D15774">
        <w:t xml:space="preserve">NOx is not covered by the new federal NSPS Subpart OOOO, therefore these emission rates should not be affected by that action.  There are some Indian </w:t>
      </w:r>
      <w:r w:rsidRPr="00D15774">
        <w:t xml:space="preserve">Lands in the Wind River Basin, thus the new </w:t>
      </w:r>
      <w:r w:rsidR="001435A6" w:rsidRPr="00D15774">
        <w:t>“</w:t>
      </w:r>
      <w:r w:rsidRPr="00D15774">
        <w:t xml:space="preserve">Permitting of Minor </w:t>
      </w:r>
      <w:r w:rsidR="001435A6" w:rsidRPr="00D15774">
        <w:t>S</w:t>
      </w:r>
      <w:r w:rsidRPr="00D15774">
        <w:t>ources on Indian Lands</w:t>
      </w:r>
      <w:r w:rsidR="001435A6" w:rsidRPr="00D15774">
        <w:t>”</w:t>
      </w:r>
      <w:r w:rsidRPr="00D15774">
        <w:t xml:space="preserve"> </w:t>
      </w:r>
      <w:r w:rsidR="00C0085C" w:rsidRPr="00D15774">
        <w:t xml:space="preserve">regulation </w:t>
      </w:r>
      <w:r w:rsidRPr="00D15774">
        <w:t>will affect the emissions of previously unpermitted small sources like field compressors, miscellaneous engines and heaters</w:t>
      </w:r>
      <w:r w:rsidR="00C0085C" w:rsidRPr="00D15774">
        <w:t xml:space="preserve">.  Federal permitting review </w:t>
      </w:r>
      <w:r w:rsidRPr="00D15774">
        <w:t xml:space="preserve">will likely lower </w:t>
      </w:r>
      <w:r w:rsidR="003A59CC" w:rsidRPr="00D15774">
        <w:t>NOx</w:t>
      </w:r>
      <w:r w:rsidRPr="00D15774">
        <w:t xml:space="preserve"> emission totals on new sources in the future.  </w:t>
      </w:r>
      <w:r w:rsidR="008654E4" w:rsidRPr="00D15774">
        <w:t>However</w:t>
      </w:r>
      <w:r w:rsidRPr="00D15774">
        <w:t xml:space="preserve">, it is </w:t>
      </w:r>
      <w:r w:rsidR="00C0085C" w:rsidRPr="00D15774">
        <w:t xml:space="preserve">also </w:t>
      </w:r>
      <w:r w:rsidRPr="00D15774">
        <w:t xml:space="preserve">likely there will be a number of existing sources that were never reported in the past, and now will be caught up in the </w:t>
      </w:r>
      <w:r w:rsidR="00956808" w:rsidRPr="00D15774">
        <w:t>federal</w:t>
      </w:r>
      <w:r w:rsidRPr="00D15774">
        <w:t xml:space="preserve"> </w:t>
      </w:r>
      <w:r w:rsidR="008654E4" w:rsidRPr="00D15774">
        <w:t>r</w:t>
      </w:r>
      <w:r w:rsidRPr="00D15774">
        <w:t xml:space="preserve">egulation reporting requirements.  Thus we may </w:t>
      </w:r>
      <w:r w:rsidR="005631F1" w:rsidRPr="00D15774">
        <w:t xml:space="preserve">actually </w:t>
      </w:r>
      <w:r w:rsidRPr="00D15774">
        <w:t xml:space="preserve">see some increased </w:t>
      </w:r>
      <w:r w:rsidR="005631F1" w:rsidRPr="00D15774">
        <w:t xml:space="preserve">NOx </w:t>
      </w:r>
      <w:r w:rsidRPr="00D15774">
        <w:t xml:space="preserve">emissions show up </w:t>
      </w:r>
      <w:r w:rsidR="000D6C31" w:rsidRPr="00D15774">
        <w:t>in future emission inventories for</w:t>
      </w:r>
      <w:r w:rsidRPr="00D15774">
        <w:t xml:space="preserve"> </w:t>
      </w:r>
      <w:r w:rsidR="00765567" w:rsidRPr="00D15774">
        <w:t>Tribal Lands</w:t>
      </w:r>
      <w:r w:rsidRPr="00D15774">
        <w:t xml:space="preserve"> </w:t>
      </w:r>
      <w:r w:rsidR="00F4188E" w:rsidRPr="00D15774">
        <w:t xml:space="preserve">in the Wind River Basin </w:t>
      </w:r>
      <w:r w:rsidR="006F7CB5" w:rsidRPr="00D15774">
        <w:t>due to this permitting regulation</w:t>
      </w:r>
      <w:r w:rsidRPr="00D15774">
        <w:t>.</w:t>
      </w:r>
    </w:p>
    <w:p w:rsidR="001B5699" w:rsidRPr="00D15774" w:rsidRDefault="001B56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1B5699" w:rsidRPr="00D15774" w:rsidRDefault="001B5699" w:rsidP="001B56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rPr>
          <w:szCs w:val="24"/>
          <w:lang w:val="en-CA"/>
        </w:rPr>
        <w:t xml:space="preserve">Regarding the </w:t>
      </w:r>
      <w:r w:rsidR="003A59CC" w:rsidRPr="00D15774">
        <w:rPr>
          <w:szCs w:val="24"/>
          <w:lang w:val="en-CA"/>
        </w:rPr>
        <w:t>15</w:t>
      </w:r>
      <w:r w:rsidRPr="00D15774">
        <w:rPr>
          <w:szCs w:val="24"/>
          <w:lang w:val="en-CA"/>
        </w:rPr>
        <w:t>% of NOx from Nonroad Mobile drill rig engines, the federal</w:t>
      </w:r>
      <w:r w:rsidRPr="00D15774">
        <w:rPr>
          <w:color w:val="000000"/>
          <w:szCs w:val="24"/>
        </w:rPr>
        <w:t xml:space="preserve"> Tier Standards take precedence and should be already accounted for in this inventory.</w:t>
      </w:r>
    </w:p>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416BE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Table 16</w:t>
      </w:r>
      <w:r w:rsidR="00042617" w:rsidRPr="00D15774">
        <w:t xml:space="preserve"> contains a listing of the Wind River Basin VOC emissions from </w:t>
      </w:r>
      <w:r w:rsidR="0099797E" w:rsidRPr="00D15774">
        <w:t>ENVIRON</w:t>
      </w:r>
      <w:r w:rsidR="00042617" w:rsidRPr="00D15774">
        <w:t>’s above cited July 14, 2010 Technical Memo.</w:t>
      </w:r>
    </w:p>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C47C14" w:rsidRDefault="00042617" w:rsidP="00C47C14">
      <w:pPr>
        <w:pStyle w:val="Heading4"/>
        <w:jc w:val="center"/>
        <w:rPr>
          <w:rFonts w:ascii="Times New Roman" w:hAnsi="Times New Roman" w:cs="Times New Roman"/>
          <w:i w:val="0"/>
          <w:color w:val="auto"/>
          <w:sz w:val="16"/>
        </w:rPr>
      </w:pPr>
      <w:bookmarkStart w:id="112" w:name="_Toc369087036"/>
      <w:r w:rsidRPr="00C47C14">
        <w:rPr>
          <w:rFonts w:ascii="Times New Roman" w:hAnsi="Times New Roman" w:cs="Times New Roman"/>
          <w:i w:val="0"/>
          <w:color w:val="auto"/>
        </w:rPr>
        <w:lastRenderedPageBreak/>
        <w:t>Table 1</w:t>
      </w:r>
      <w:r w:rsidR="00416BE9" w:rsidRPr="00C47C14">
        <w:rPr>
          <w:rFonts w:ascii="Times New Roman" w:hAnsi="Times New Roman" w:cs="Times New Roman"/>
          <w:i w:val="0"/>
          <w:color w:val="auto"/>
        </w:rPr>
        <w:t>6</w:t>
      </w:r>
      <w:r w:rsidRPr="00C47C14">
        <w:rPr>
          <w:rFonts w:ascii="Times New Roman" w:hAnsi="Times New Roman" w:cs="Times New Roman"/>
          <w:i w:val="0"/>
          <w:color w:val="auto"/>
        </w:rPr>
        <w:t>: Wind River Basin 2006 VOC Emission Sources (</w:t>
      </w:r>
      <w:r w:rsidR="0059687A" w:rsidRPr="00C47C14">
        <w:rPr>
          <w:rFonts w:ascii="Times New Roman" w:hAnsi="Times New Roman" w:cs="Times New Roman"/>
          <w:i w:val="0"/>
          <w:color w:val="auto"/>
        </w:rPr>
        <w:t>tpy</w:t>
      </w:r>
      <w:r w:rsidRPr="00C47C14">
        <w:rPr>
          <w:rFonts w:ascii="Times New Roman" w:hAnsi="Times New Roman" w:cs="Times New Roman"/>
          <w:i w:val="0"/>
          <w:color w:val="auto"/>
        </w:rPr>
        <w:t>)</w:t>
      </w:r>
      <w:bookmarkEnd w:id="112"/>
      <w:r w:rsidR="00E21C92" w:rsidRPr="00C47C14">
        <w:rPr>
          <w:rFonts w:ascii="Times New Roman" w:hAnsi="Times New Roman" w:cs="Times New Roman"/>
          <w:i w:val="0"/>
          <w:color w:val="auto"/>
        </w:rPr>
        <w:fldChar w:fldCharType="begin"/>
      </w:r>
      <w:r w:rsidRPr="00C47C14">
        <w:rPr>
          <w:rFonts w:ascii="Times New Roman" w:hAnsi="Times New Roman" w:cs="Times New Roman"/>
          <w:i w:val="0"/>
          <w:color w:val="auto"/>
        </w:rPr>
        <w:instrText xml:space="preserve"> TC \l4 "</w:instrText>
      </w:r>
      <w:bookmarkStart w:id="113" w:name="_Toc363192360"/>
      <w:r w:rsidRPr="00C47C14">
        <w:rPr>
          <w:rFonts w:ascii="Times New Roman" w:hAnsi="Times New Roman" w:cs="Times New Roman"/>
          <w:i w:val="0"/>
          <w:color w:val="auto"/>
        </w:rPr>
        <w:instrText>Table 14: Wind River Basin 2006 VOC Emission Sources (TPY)</w:instrText>
      </w:r>
      <w:bookmarkEnd w:id="113"/>
      <w:r w:rsidR="00E21C92" w:rsidRPr="00C47C14">
        <w:rPr>
          <w:rFonts w:ascii="Times New Roman" w:hAnsi="Times New Roman" w:cs="Times New Roman"/>
          <w:i w:val="0"/>
          <w:color w:val="auto"/>
        </w:rPr>
        <w:fldChar w:fldCharType="end"/>
      </w:r>
    </w:p>
    <w:tbl>
      <w:tblPr>
        <w:tblW w:w="11324" w:type="dxa"/>
        <w:jc w:val="center"/>
        <w:tblBorders>
          <w:top w:val="nil"/>
          <w:left w:val="nil"/>
          <w:bottom w:val="nil"/>
          <w:right w:val="nil"/>
          <w:insideH w:val="nil"/>
          <w:insideV w:val="nil"/>
        </w:tblBorders>
        <w:tblLayout w:type="fixed"/>
        <w:tblCellMar>
          <w:left w:w="85" w:type="dxa"/>
          <w:right w:w="85" w:type="dxa"/>
        </w:tblCellMar>
        <w:tblLook w:val="0000" w:firstRow="0" w:lastRow="0" w:firstColumn="0" w:lastColumn="0" w:noHBand="0" w:noVBand="0"/>
      </w:tblPr>
      <w:tblGrid>
        <w:gridCol w:w="1138"/>
        <w:gridCol w:w="1061"/>
        <w:gridCol w:w="530"/>
        <w:gridCol w:w="796"/>
        <w:gridCol w:w="780"/>
        <w:gridCol w:w="1014"/>
        <w:gridCol w:w="764"/>
        <w:gridCol w:w="1092"/>
        <w:gridCol w:w="889"/>
        <w:gridCol w:w="608"/>
        <w:gridCol w:w="1092"/>
        <w:gridCol w:w="889"/>
        <w:gridCol w:w="671"/>
      </w:tblGrid>
      <w:tr w:rsidR="00042617" w:rsidRPr="00D15774" w:rsidTr="006E2C18">
        <w:trPr>
          <w:trHeight w:val="377"/>
          <w:jc w:val="center"/>
        </w:trPr>
        <w:tc>
          <w:tcPr>
            <w:tcW w:w="1138"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p>
        </w:tc>
        <w:tc>
          <w:tcPr>
            <w:tcW w:w="1061"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Compressor Engines</w:t>
            </w:r>
          </w:p>
        </w:tc>
        <w:tc>
          <w:tcPr>
            <w:tcW w:w="530"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Drill Rigs</w:t>
            </w:r>
          </w:p>
        </w:tc>
        <w:tc>
          <w:tcPr>
            <w:tcW w:w="796"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Heaters</w:t>
            </w:r>
          </w:p>
        </w:tc>
        <w:tc>
          <w:tcPr>
            <w:tcW w:w="780"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Pneumatic Devices</w:t>
            </w:r>
          </w:p>
        </w:tc>
        <w:tc>
          <w:tcPr>
            <w:tcW w:w="1014"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Venting - Blowdowns</w:t>
            </w:r>
          </w:p>
        </w:tc>
        <w:tc>
          <w:tcPr>
            <w:tcW w:w="764"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Workover Rigs</w:t>
            </w:r>
          </w:p>
        </w:tc>
        <w:tc>
          <w:tcPr>
            <w:tcW w:w="1092"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Dehydrators</w:t>
            </w:r>
          </w:p>
        </w:tc>
        <w:tc>
          <w:tcPr>
            <w:tcW w:w="889"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Condensate Tanks</w:t>
            </w:r>
          </w:p>
        </w:tc>
        <w:tc>
          <w:tcPr>
            <w:tcW w:w="608"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Oil Tanks</w:t>
            </w:r>
          </w:p>
        </w:tc>
        <w:tc>
          <w:tcPr>
            <w:tcW w:w="1092"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Unpermitted Fugitives</w:t>
            </w:r>
          </w:p>
        </w:tc>
        <w:tc>
          <w:tcPr>
            <w:tcW w:w="889"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Other Categories</w:t>
            </w:r>
          </w:p>
        </w:tc>
        <w:tc>
          <w:tcPr>
            <w:tcW w:w="671"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7F197C" w:rsidRPr="00D15774" w:rsidRDefault="007F197C">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Grand</w:t>
            </w:r>
          </w:p>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Total</w:t>
            </w:r>
          </w:p>
        </w:tc>
      </w:tr>
      <w:tr w:rsidR="00042617" w:rsidRPr="00D15774" w:rsidTr="006E2C18">
        <w:trPr>
          <w:trHeight w:val="254"/>
          <w:jc w:val="center"/>
        </w:trPr>
        <w:tc>
          <w:tcPr>
            <w:tcW w:w="1138" w:type="dxa"/>
            <w:tcBorders>
              <w:top w:val="single" w:sz="10" w:space="0" w:color="000000"/>
              <w:left w:val="single" w:sz="10" w:space="0" w:color="000000"/>
              <w:bottom w:val="single" w:sz="10" w:space="0" w:color="000000"/>
              <w:right w:val="single" w:sz="10" w:space="0" w:color="000000"/>
            </w:tcBorders>
            <w:tcMar>
              <w:left w:w="0"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Total Tons</w:t>
            </w:r>
          </w:p>
        </w:tc>
        <w:tc>
          <w:tcPr>
            <w:tcW w:w="1061"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b/>
                <w:sz w:val="16"/>
              </w:rPr>
            </w:pPr>
            <w:r w:rsidRPr="00D15774">
              <w:rPr>
                <w:sz w:val="16"/>
              </w:rPr>
              <w:t>220</w:t>
            </w:r>
          </w:p>
        </w:tc>
        <w:tc>
          <w:tcPr>
            <w:tcW w:w="530"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b/>
                <w:sz w:val="16"/>
              </w:rPr>
            </w:pPr>
            <w:r w:rsidRPr="00D15774">
              <w:rPr>
                <w:sz w:val="16"/>
              </w:rPr>
              <w:t>24</w:t>
            </w:r>
          </w:p>
        </w:tc>
        <w:tc>
          <w:tcPr>
            <w:tcW w:w="796"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b/>
                <w:sz w:val="16"/>
              </w:rPr>
            </w:pPr>
            <w:r w:rsidRPr="00D15774">
              <w:rPr>
                <w:sz w:val="16"/>
              </w:rPr>
              <w:t>8</w:t>
            </w:r>
          </w:p>
        </w:tc>
        <w:tc>
          <w:tcPr>
            <w:tcW w:w="780"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b/>
                <w:sz w:val="16"/>
              </w:rPr>
            </w:pPr>
            <w:r w:rsidRPr="00D15774">
              <w:rPr>
                <w:sz w:val="16"/>
              </w:rPr>
              <w:t>6,351</w:t>
            </w:r>
          </w:p>
        </w:tc>
        <w:tc>
          <w:tcPr>
            <w:tcW w:w="1014"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b/>
                <w:sz w:val="16"/>
              </w:rPr>
            </w:pPr>
            <w:r w:rsidRPr="00D15774">
              <w:rPr>
                <w:sz w:val="16"/>
              </w:rPr>
              <w:t>2,018</w:t>
            </w:r>
          </w:p>
        </w:tc>
        <w:tc>
          <w:tcPr>
            <w:tcW w:w="764"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b/>
                <w:sz w:val="16"/>
              </w:rPr>
            </w:pPr>
            <w:r w:rsidRPr="00D15774">
              <w:rPr>
                <w:sz w:val="16"/>
              </w:rPr>
              <w:t>9</w:t>
            </w:r>
          </w:p>
        </w:tc>
        <w:tc>
          <w:tcPr>
            <w:tcW w:w="1092"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b/>
                <w:sz w:val="16"/>
              </w:rPr>
            </w:pPr>
            <w:r w:rsidRPr="00D15774">
              <w:rPr>
                <w:sz w:val="16"/>
              </w:rPr>
              <w:t>1,324</w:t>
            </w:r>
          </w:p>
        </w:tc>
        <w:tc>
          <w:tcPr>
            <w:tcW w:w="889"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b/>
                <w:sz w:val="16"/>
              </w:rPr>
            </w:pPr>
            <w:r w:rsidRPr="00D15774">
              <w:rPr>
                <w:sz w:val="16"/>
              </w:rPr>
              <w:t>710</w:t>
            </w:r>
          </w:p>
        </w:tc>
        <w:tc>
          <w:tcPr>
            <w:tcW w:w="608"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b/>
                <w:sz w:val="16"/>
              </w:rPr>
            </w:pPr>
            <w:r w:rsidRPr="00D15774">
              <w:rPr>
                <w:sz w:val="16"/>
              </w:rPr>
              <w:t>449</w:t>
            </w:r>
          </w:p>
        </w:tc>
        <w:tc>
          <w:tcPr>
            <w:tcW w:w="1092"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b/>
                <w:sz w:val="16"/>
              </w:rPr>
            </w:pPr>
            <w:r w:rsidRPr="00D15774">
              <w:rPr>
                <w:sz w:val="16"/>
              </w:rPr>
              <w:t>296</w:t>
            </w:r>
          </w:p>
        </w:tc>
        <w:tc>
          <w:tcPr>
            <w:tcW w:w="889"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b/>
                <w:sz w:val="16"/>
              </w:rPr>
            </w:pPr>
            <w:r w:rsidRPr="00D15774">
              <w:rPr>
                <w:sz w:val="16"/>
              </w:rPr>
              <w:t>574</w:t>
            </w:r>
          </w:p>
        </w:tc>
        <w:tc>
          <w:tcPr>
            <w:tcW w:w="671"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11,982</w:t>
            </w:r>
          </w:p>
        </w:tc>
      </w:tr>
      <w:tr w:rsidR="00042617" w:rsidRPr="00D15774" w:rsidTr="006E2C18">
        <w:trPr>
          <w:trHeight w:val="254"/>
          <w:jc w:val="center"/>
        </w:trPr>
        <w:tc>
          <w:tcPr>
            <w:tcW w:w="1138"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Percent of Total</w:t>
            </w:r>
          </w:p>
        </w:tc>
        <w:tc>
          <w:tcPr>
            <w:tcW w:w="1061"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w:t>
            </w:r>
          </w:p>
        </w:tc>
        <w:tc>
          <w:tcPr>
            <w:tcW w:w="530"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0%</w:t>
            </w:r>
          </w:p>
        </w:tc>
        <w:tc>
          <w:tcPr>
            <w:tcW w:w="79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0%</w:t>
            </w:r>
          </w:p>
        </w:tc>
        <w:tc>
          <w:tcPr>
            <w:tcW w:w="780"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53%</w:t>
            </w:r>
          </w:p>
        </w:tc>
        <w:tc>
          <w:tcPr>
            <w:tcW w:w="1014"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17%</w:t>
            </w:r>
          </w:p>
        </w:tc>
        <w:tc>
          <w:tcPr>
            <w:tcW w:w="764"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0%</w:t>
            </w:r>
          </w:p>
        </w:tc>
        <w:tc>
          <w:tcPr>
            <w:tcW w:w="1092"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11%</w:t>
            </w:r>
          </w:p>
        </w:tc>
        <w:tc>
          <w:tcPr>
            <w:tcW w:w="889"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6%</w:t>
            </w:r>
          </w:p>
        </w:tc>
        <w:tc>
          <w:tcPr>
            <w:tcW w:w="608"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4%</w:t>
            </w:r>
          </w:p>
        </w:tc>
        <w:tc>
          <w:tcPr>
            <w:tcW w:w="1092"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w:t>
            </w:r>
          </w:p>
        </w:tc>
        <w:tc>
          <w:tcPr>
            <w:tcW w:w="889"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5%</w:t>
            </w:r>
          </w:p>
        </w:tc>
        <w:tc>
          <w:tcPr>
            <w:tcW w:w="671"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100%</w:t>
            </w:r>
          </w:p>
        </w:tc>
      </w:tr>
      <w:tr w:rsidR="00042617" w:rsidRPr="00D15774" w:rsidTr="006E2C18">
        <w:trPr>
          <w:trHeight w:hRule="exact" w:val="144"/>
          <w:jc w:val="center"/>
        </w:trPr>
        <w:tc>
          <w:tcPr>
            <w:tcW w:w="113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p>
        </w:tc>
        <w:tc>
          <w:tcPr>
            <w:tcW w:w="106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53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79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78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1014"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764"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1092"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889"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60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1092"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889"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c>
          <w:tcPr>
            <w:tcW w:w="67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p>
        </w:tc>
      </w:tr>
      <w:tr w:rsidR="00042617" w:rsidRPr="00D15774" w:rsidTr="006E2C18">
        <w:trPr>
          <w:trHeight w:val="254"/>
          <w:jc w:val="center"/>
        </w:trPr>
        <w:tc>
          <w:tcPr>
            <w:tcW w:w="1138"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Total Tribal</w:t>
            </w:r>
          </w:p>
        </w:tc>
        <w:tc>
          <w:tcPr>
            <w:tcW w:w="1061"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48</w:t>
            </w:r>
          </w:p>
        </w:tc>
        <w:tc>
          <w:tcPr>
            <w:tcW w:w="530"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w:t>
            </w:r>
          </w:p>
        </w:tc>
        <w:tc>
          <w:tcPr>
            <w:tcW w:w="79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w:t>
            </w:r>
          </w:p>
        </w:tc>
        <w:tc>
          <w:tcPr>
            <w:tcW w:w="780"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1,886</w:t>
            </w:r>
          </w:p>
        </w:tc>
        <w:tc>
          <w:tcPr>
            <w:tcW w:w="1014"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599</w:t>
            </w:r>
          </w:p>
        </w:tc>
        <w:tc>
          <w:tcPr>
            <w:tcW w:w="764"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3</w:t>
            </w:r>
          </w:p>
        </w:tc>
        <w:tc>
          <w:tcPr>
            <w:tcW w:w="1092"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36</w:t>
            </w:r>
          </w:p>
        </w:tc>
        <w:tc>
          <w:tcPr>
            <w:tcW w:w="889"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26</w:t>
            </w:r>
          </w:p>
        </w:tc>
        <w:tc>
          <w:tcPr>
            <w:tcW w:w="608"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314</w:t>
            </w:r>
          </w:p>
        </w:tc>
        <w:tc>
          <w:tcPr>
            <w:tcW w:w="1092"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88</w:t>
            </w:r>
          </w:p>
        </w:tc>
        <w:tc>
          <w:tcPr>
            <w:tcW w:w="889"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191</w:t>
            </w:r>
          </w:p>
        </w:tc>
        <w:tc>
          <w:tcPr>
            <w:tcW w:w="671"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3,196</w:t>
            </w:r>
          </w:p>
        </w:tc>
      </w:tr>
      <w:tr w:rsidR="00042617" w:rsidRPr="00D15774" w:rsidTr="006E2C18">
        <w:trPr>
          <w:trHeight w:val="254"/>
          <w:jc w:val="center"/>
        </w:trPr>
        <w:tc>
          <w:tcPr>
            <w:tcW w:w="1138"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16"/>
              </w:rPr>
            </w:pPr>
            <w:r w:rsidRPr="00D15774">
              <w:rPr>
                <w:sz w:val="16"/>
              </w:rPr>
              <w:t>Total Nontribal</w:t>
            </w:r>
          </w:p>
        </w:tc>
        <w:tc>
          <w:tcPr>
            <w:tcW w:w="1061"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171</w:t>
            </w:r>
          </w:p>
        </w:tc>
        <w:tc>
          <w:tcPr>
            <w:tcW w:w="530"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23</w:t>
            </w:r>
          </w:p>
        </w:tc>
        <w:tc>
          <w:tcPr>
            <w:tcW w:w="79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6</w:t>
            </w:r>
          </w:p>
        </w:tc>
        <w:tc>
          <w:tcPr>
            <w:tcW w:w="780"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4,464</w:t>
            </w:r>
          </w:p>
        </w:tc>
        <w:tc>
          <w:tcPr>
            <w:tcW w:w="1014"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1,418</w:t>
            </w:r>
          </w:p>
        </w:tc>
        <w:tc>
          <w:tcPr>
            <w:tcW w:w="764"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7</w:t>
            </w:r>
          </w:p>
        </w:tc>
        <w:tc>
          <w:tcPr>
            <w:tcW w:w="1092"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1,288</w:t>
            </w:r>
          </w:p>
        </w:tc>
        <w:tc>
          <w:tcPr>
            <w:tcW w:w="889"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684</w:t>
            </w:r>
          </w:p>
        </w:tc>
        <w:tc>
          <w:tcPr>
            <w:tcW w:w="608"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135</w:t>
            </w:r>
          </w:p>
        </w:tc>
        <w:tc>
          <w:tcPr>
            <w:tcW w:w="1092"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208</w:t>
            </w:r>
          </w:p>
        </w:tc>
        <w:tc>
          <w:tcPr>
            <w:tcW w:w="889"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382</w:t>
            </w:r>
          </w:p>
        </w:tc>
        <w:tc>
          <w:tcPr>
            <w:tcW w:w="671"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sz w:val="16"/>
              </w:rPr>
            </w:pPr>
            <w:r w:rsidRPr="00D15774">
              <w:rPr>
                <w:sz w:val="16"/>
              </w:rPr>
              <w:t>8,786</w:t>
            </w:r>
          </w:p>
        </w:tc>
      </w:tr>
    </w:tbl>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rPr>
          <w:sz w:val="16"/>
        </w:rPr>
      </w:pPr>
    </w:p>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rPr>
          <w:sz w:val="16"/>
        </w:rPr>
      </w:pPr>
    </w:p>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In the Wind River Basin pneumatic devices comprise more than half (53%) of the VOC emissions, followed by 17% from venting blowdowns, 11% from glycol dehydrators and 10 % from condensate (6%) and oil tanks (4%).</w:t>
      </w:r>
    </w:p>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F4188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Regarding pneumatic devices, the new regulations of NSPS Subpart OOOO address VOC emissions by allowing no emissions from devices located at gas processing plants, while devices at other sites would be required to use low bleed devices limited to </w:t>
      </w:r>
      <w:r w:rsidR="000D6C31" w:rsidRPr="00D15774">
        <w:t xml:space="preserve">VOC </w:t>
      </w:r>
      <w:r w:rsidRPr="00D15774">
        <w:t>emissions of 6 ft</w:t>
      </w:r>
      <w:r w:rsidRPr="00D15774">
        <w:rPr>
          <w:vertAlign w:val="superscript"/>
        </w:rPr>
        <w:t>3</w:t>
      </w:r>
      <w:r w:rsidRPr="00D15774">
        <w:t xml:space="preserve">/day.  </w:t>
      </w:r>
      <w:r w:rsidR="00042617" w:rsidRPr="00D15774">
        <w:t>Th</w:t>
      </w:r>
      <w:r w:rsidR="008654E4" w:rsidRPr="00D15774">
        <w:t>e</w:t>
      </w:r>
      <w:r w:rsidR="00042617" w:rsidRPr="00D15774">
        <w:t xml:space="preserve"> Wind River Basin is part of the Concentrated Development Area for the State of Wyoming and Chapter 6 Section 2 O&amp;G Permitting Guidance, already requires installation of low or no-bleed </w:t>
      </w:r>
      <w:r w:rsidR="000D6C31" w:rsidRPr="00D15774">
        <w:t xml:space="preserve">pneumatic devices </w:t>
      </w:r>
      <w:r w:rsidR="00042617" w:rsidRPr="00D15774">
        <w:t xml:space="preserve">at all new facilities.  Upon modification of facilities, new pneumatic controllers must </w:t>
      </w:r>
      <w:r w:rsidR="000D6C31" w:rsidRPr="00D15774">
        <w:t xml:space="preserve">also </w:t>
      </w:r>
      <w:r w:rsidR="00042617" w:rsidRPr="00D15774">
        <w:t>be low/no-bleed</w:t>
      </w:r>
      <w:r w:rsidR="000D6C31" w:rsidRPr="00D15774">
        <w:t xml:space="preserve">, while </w:t>
      </w:r>
      <w:r w:rsidR="00042617" w:rsidRPr="00D15774">
        <w:t xml:space="preserve">existing controllers must be replaced with no/low-bleed. (well site facilities only - not gas plants).  Thus the impact of Subpart OOOO on pneumatic emissions would be minimized in </w:t>
      </w:r>
      <w:r w:rsidR="000D6C31" w:rsidRPr="00D15774">
        <w:t>future</w:t>
      </w:r>
      <w:r w:rsidR="00042617" w:rsidRPr="00D15774">
        <w:t xml:space="preserve"> Wind River Basin</w:t>
      </w:r>
      <w:r w:rsidR="000D6C31" w:rsidRPr="00D15774">
        <w:t xml:space="preserve"> emission inventories</w:t>
      </w:r>
      <w:r w:rsidR="00042617" w:rsidRPr="00D15774">
        <w:t>.</w:t>
      </w:r>
    </w:p>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F4188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Regarding well completions (venting blowdowns in the Phase III inventory) under Subpart OOOO any new or existing non-exploratory or non-delineation wells (wells that are in close proximity to a gathering line) that have undergone high pressure hydraulic fracturing (fracing), the regulation require</w:t>
      </w:r>
      <w:r w:rsidR="000D6C31" w:rsidRPr="00D15774">
        <w:t>s</w:t>
      </w:r>
      <w:r w:rsidRPr="00D15774">
        <w:t xml:space="preserve"> “Green Completions” for these wells, in combination with pit flaring for gas unsuitable to enter a sales pipeline.  </w:t>
      </w:r>
      <w:r w:rsidR="00042617" w:rsidRPr="00D15774">
        <w:t xml:space="preserve">Wyoming Chapter 6 Section 2 O&amp;G Permitting Guidance defines 3 area categories; 1) </w:t>
      </w:r>
      <w:r w:rsidR="00650D7E" w:rsidRPr="00D15774">
        <w:t xml:space="preserve">the </w:t>
      </w:r>
      <w:r w:rsidR="00042617" w:rsidRPr="00D15774">
        <w:t>Jonah-Pinedale Anticline Development (JPAD), 2) Concentrated Development Area (CDA) &amp; 3) Statewide</w:t>
      </w:r>
    </w:p>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Green completions </w:t>
      </w:r>
      <w:r w:rsidR="00A70AD3" w:rsidRPr="00D15774">
        <w:t>hav</w:t>
      </w:r>
      <w:r w:rsidRPr="00D15774">
        <w:t xml:space="preserve">e </w:t>
      </w:r>
      <w:r w:rsidR="00A70AD3" w:rsidRPr="00D15774">
        <w:t xml:space="preserve">been </w:t>
      </w:r>
      <w:r w:rsidRPr="00D15774">
        <w:t xml:space="preserve">required in the JPAD </w:t>
      </w:r>
      <w:r w:rsidR="00A70AD3" w:rsidRPr="00D15774">
        <w:t xml:space="preserve">area since 2004, and are required </w:t>
      </w:r>
      <w:r w:rsidRPr="00D15774">
        <w:t xml:space="preserve">CDAs as of </w:t>
      </w:r>
      <w:r w:rsidR="00A70AD3" w:rsidRPr="00D15774">
        <w:t>2011-</w:t>
      </w:r>
      <w:r w:rsidR="00E679FD" w:rsidRPr="00D15774">
        <w:t>20</w:t>
      </w:r>
      <w:r w:rsidR="00A70AD3" w:rsidRPr="00D15774">
        <w:t xml:space="preserve">12 (depending upon individual permit issuance -- </w:t>
      </w:r>
      <w:r w:rsidRPr="00D15774">
        <w:t>August 1, 2011</w:t>
      </w:r>
      <w:r w:rsidR="00A70AD3" w:rsidRPr="00D15774">
        <w:t xml:space="preserve"> rule)</w:t>
      </w:r>
      <w:r w:rsidRPr="00D15774">
        <w:t xml:space="preserve">.  Fremont County containing the Wind River Basin is classified as a CDA, therefore the requirement for Green Completions applies.  Thus the effect of Subpart OOOO </w:t>
      </w:r>
      <w:r w:rsidR="006F7CB5" w:rsidRPr="00D15774">
        <w:t xml:space="preserve">on venting </w:t>
      </w:r>
      <w:r w:rsidR="000D6C31" w:rsidRPr="00D15774">
        <w:t xml:space="preserve">VOC </w:t>
      </w:r>
      <w:r w:rsidR="006F7CB5" w:rsidRPr="00D15774">
        <w:t xml:space="preserve">emissions </w:t>
      </w:r>
      <w:r w:rsidRPr="00D15774">
        <w:t xml:space="preserve">will be minimized in the non tribal portion of the Wind River Basin by existing Wyoming regulations. </w:t>
      </w:r>
    </w:p>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E42BDD" w:rsidRPr="00D15774" w:rsidRDefault="002D6BE5" w:rsidP="00E42BD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rPr>
          <w:rStyle w:val="FigureChar"/>
          <w:rFonts w:ascii="Times New Roman" w:hAnsi="Times New Roman"/>
          <w:b w:val="0"/>
          <w:sz w:val="24"/>
        </w:rPr>
      </w:pPr>
      <w:r w:rsidRPr="00D15774">
        <w:t xml:space="preserve">Regarding glycol dehydrators, EPA previously proposed to remove the 1 ton per year benzene compliance option for large glycol dehydrators, but with the revised risk analysis, the final rule retained this 1 TPY option for large dehydrators.  If annual benzene emissions don’t meet the 1 TPY threshold, under Subpart OOOO the large dehydrators would have to reduce air toxics their emissions by 95 percent.  </w:t>
      </w:r>
      <w:r w:rsidR="00E42BDD" w:rsidRPr="00D15774">
        <w:rPr>
          <w:rStyle w:val="FigureChar"/>
          <w:rFonts w:ascii="Times New Roman" w:hAnsi="Times New Roman"/>
          <w:b w:val="0"/>
          <w:sz w:val="24"/>
        </w:rPr>
        <w:t xml:space="preserve">Wyoming Chapter 6 Section 2 O&amp;G Permitting Guidance requires </w:t>
      </w:r>
      <w:r w:rsidR="00E42BDD" w:rsidRPr="00D15774">
        <w:lastRenderedPageBreak/>
        <w:t xml:space="preserve">98% control for statewide PAD (multiple well) facilities upon startup/modification.  Other than PAD facilities, single dehydration units with ≥6 tpy VOC emissions must be controlled by 98% within 60 days of startup/modification (units with ≥8 tpy VOC emissions must be controlled by 98% within 30 days of startup/modification).  Removal of controls is allowed after various elapsed time periods and upon WAQD approval when VOC emissions are less than 6 or 8 tpy depending on whether the dehydrators are equipped with condensers and/or glycol flash tanks, and depending on where the units are located.  </w:t>
      </w:r>
      <w:r w:rsidR="00E42BDD" w:rsidRPr="00D15774">
        <w:rPr>
          <w:rStyle w:val="FigureChar"/>
          <w:rFonts w:ascii="Times New Roman" w:hAnsi="Times New Roman"/>
          <w:b w:val="0"/>
          <w:sz w:val="24"/>
        </w:rPr>
        <w:t xml:space="preserve">Thus the effect of Subpart OOOO glycol dehydrator rules will be minimized for VOC emissions in the non tribal portion of the Wind River Basin by existing Wyoming regulations. </w:t>
      </w:r>
    </w:p>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A</w:t>
      </w:r>
      <w:r w:rsidR="008654E4" w:rsidRPr="00D15774">
        <w:t>lso</w:t>
      </w:r>
      <w:r w:rsidRPr="00D15774">
        <w:t xml:space="preserve"> applicable to this basin, </w:t>
      </w:r>
      <w:r w:rsidR="002D6BE5" w:rsidRPr="00D15774">
        <w:t xml:space="preserve">the </w:t>
      </w:r>
      <w:r w:rsidR="002D6BE5" w:rsidRPr="00D15774">
        <w:rPr>
          <w:rStyle w:val="FigureChar"/>
          <w:rFonts w:ascii="Times New Roman" w:hAnsi="Times New Roman"/>
          <w:b w:val="0"/>
          <w:sz w:val="24"/>
        </w:rPr>
        <w:t xml:space="preserve">Subpart OOOO regulation requires condensate tanks </w:t>
      </w:r>
      <w:r w:rsidR="002D6BE5" w:rsidRPr="00D15774">
        <w:t xml:space="preserve">constructed or modified after August 23, 2011, with 6 tpy of </w:t>
      </w:r>
      <w:r w:rsidR="000D6C31" w:rsidRPr="00D15774">
        <w:t xml:space="preserve">uncontrolled </w:t>
      </w:r>
      <w:r w:rsidR="002D6BE5" w:rsidRPr="00D15774">
        <w:t>VOC emissions</w:t>
      </w:r>
      <w:r w:rsidR="002D6BE5" w:rsidRPr="00D15774">
        <w:rPr>
          <w:rStyle w:val="FigureChar"/>
          <w:rFonts w:ascii="Times New Roman" w:hAnsi="Times New Roman"/>
          <w:b w:val="0"/>
          <w:sz w:val="24"/>
        </w:rPr>
        <w:t xml:space="preserve"> to reduce </w:t>
      </w:r>
      <w:r w:rsidR="000D6C31" w:rsidRPr="00D15774">
        <w:rPr>
          <w:rStyle w:val="FigureChar"/>
          <w:rFonts w:ascii="Times New Roman" w:hAnsi="Times New Roman"/>
          <w:b w:val="0"/>
          <w:sz w:val="24"/>
        </w:rPr>
        <w:t xml:space="preserve">those emissions </w:t>
      </w:r>
      <w:r w:rsidR="002D6BE5" w:rsidRPr="00D15774">
        <w:rPr>
          <w:rStyle w:val="FigureChar"/>
          <w:rFonts w:ascii="Times New Roman" w:hAnsi="Times New Roman"/>
          <w:b w:val="0"/>
          <w:sz w:val="24"/>
        </w:rPr>
        <w:t xml:space="preserve">by 95%. </w:t>
      </w:r>
      <w:r w:rsidR="002D6BE5" w:rsidRPr="00D15774">
        <w:t xml:space="preserve"> </w:t>
      </w:r>
      <w:r w:rsidRPr="00D15774">
        <w:t xml:space="preserve">Wyoming Chapter 6 Section 2 O&amp;G Permitting Guidance requires 98% control of all new/modified tank emissions ≥8 </w:t>
      </w:r>
      <w:r w:rsidR="0059687A" w:rsidRPr="00D15774">
        <w:t>tpy</w:t>
      </w:r>
      <w:r w:rsidRPr="00D15774">
        <w:t xml:space="preserve"> VOC at start up in CDAs.  Thus the effect of Subpart OOOO </w:t>
      </w:r>
      <w:r w:rsidR="006F7CB5" w:rsidRPr="00D15774">
        <w:t xml:space="preserve">on tank VOC emissions </w:t>
      </w:r>
      <w:r w:rsidRPr="00D15774">
        <w:t>will be minimized in the non tribal portion of the Wind River Basin by existing Wyoming regulations.</w:t>
      </w:r>
    </w:p>
    <w:p w:rsidR="00042617" w:rsidRPr="00D15774" w:rsidRDefault="000426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3104F0" w:rsidRPr="00D15774" w:rsidRDefault="00042617" w:rsidP="003104F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Regarding the </w:t>
      </w:r>
      <w:r w:rsidR="00956808" w:rsidRPr="00D15774">
        <w:t>federal</w:t>
      </w:r>
      <w:r w:rsidR="00991A85" w:rsidRPr="00D15774">
        <w:t xml:space="preserve"> r</w:t>
      </w:r>
      <w:r w:rsidRPr="00D15774">
        <w:t xml:space="preserve">ules for </w:t>
      </w:r>
      <w:r w:rsidR="001435A6" w:rsidRPr="00D15774">
        <w:t>“P</w:t>
      </w:r>
      <w:r w:rsidRPr="00D15774">
        <w:t xml:space="preserve">ermitting of </w:t>
      </w:r>
      <w:r w:rsidR="001435A6" w:rsidRPr="00D15774">
        <w:t>Minor S</w:t>
      </w:r>
      <w:r w:rsidRPr="00D15774">
        <w:t>ources on Indian Lands</w:t>
      </w:r>
      <w:r w:rsidR="001435A6" w:rsidRPr="00D15774">
        <w:t>”</w:t>
      </w:r>
      <w:r w:rsidRPr="00D15774">
        <w:t xml:space="preserve">, </w:t>
      </w:r>
      <w:r w:rsidR="000D6C31" w:rsidRPr="00D15774">
        <w:t xml:space="preserve">VOC emissions from </w:t>
      </w:r>
      <w:r w:rsidRPr="00D15774">
        <w:t xml:space="preserve">the Wind River Basin Indian Lands </w:t>
      </w:r>
      <w:r w:rsidR="000D6C31" w:rsidRPr="00D15774">
        <w:t>represent a</w:t>
      </w:r>
      <w:r w:rsidR="005631F1" w:rsidRPr="00D15774">
        <w:t xml:space="preserve"> minority of sources.  </w:t>
      </w:r>
      <w:r w:rsidR="003104F0" w:rsidRPr="00D15774">
        <w:t xml:space="preserve">Although newly constructed sources like field compressors, artificial lift engines and heaters will have lower emissions than previously projected due to federal permitting review, there will also likely be a number of existing sources that were never reported in the past.  These newly captured sources will now be included in emission inventories due to federal reporting requirements.  Thus we may actually see some increased VOC emissions show up </w:t>
      </w:r>
      <w:r w:rsidR="000D6C31" w:rsidRPr="00D15774">
        <w:t>in future emission inventories for</w:t>
      </w:r>
      <w:r w:rsidR="003104F0" w:rsidRPr="00D15774">
        <w:t xml:space="preserve"> Tribal Lands in the </w:t>
      </w:r>
      <w:r w:rsidR="001435A6" w:rsidRPr="00D15774">
        <w:t>Wind River Basin</w:t>
      </w:r>
      <w:r w:rsidRPr="00D15774">
        <w:t xml:space="preserve"> </w:t>
      </w:r>
      <w:r w:rsidR="003104F0" w:rsidRPr="00D15774">
        <w:t>due to this permitting regulation</w:t>
      </w:r>
      <w:r w:rsidRPr="00D15774">
        <w:t>.</w:t>
      </w:r>
    </w:p>
    <w:p w:rsidR="003104F0" w:rsidRPr="00D15774" w:rsidRDefault="003104F0">
      <w:r w:rsidRPr="00D15774">
        <w:br w:type="page"/>
      </w:r>
    </w:p>
    <w:p w:rsidR="00042617" w:rsidRPr="00D15774" w:rsidRDefault="00042617" w:rsidP="00E1181C">
      <w:pPr>
        <w:pStyle w:val="Heading3"/>
        <w:rPr>
          <w:rFonts w:ascii="Times New Roman" w:hAnsi="Times New Roman" w:cs="Times New Roman"/>
        </w:rPr>
      </w:pPr>
    </w:p>
    <w:p w:rsidR="00042617" w:rsidRPr="00E47241" w:rsidRDefault="00042617" w:rsidP="00E1181C">
      <w:pPr>
        <w:pStyle w:val="Heading3"/>
        <w:rPr>
          <w:rFonts w:ascii="Times New Roman" w:hAnsi="Times New Roman" w:cs="Times New Roman"/>
          <w:color w:val="auto"/>
        </w:rPr>
      </w:pPr>
      <w:bookmarkStart w:id="114" w:name="_Toc369087037"/>
      <w:r w:rsidRPr="00E47241">
        <w:rPr>
          <w:rFonts w:ascii="Times New Roman" w:hAnsi="Times New Roman" w:cs="Times New Roman"/>
          <w:color w:val="auto"/>
        </w:rPr>
        <w:t>Powder River Basin 2006 Emissions</w:t>
      </w:r>
      <w:bookmarkEnd w:id="114"/>
      <w:r w:rsidR="00E21C92" w:rsidRPr="00E47241">
        <w:rPr>
          <w:rFonts w:ascii="Times New Roman" w:hAnsi="Times New Roman" w:cs="Times New Roman"/>
          <w:color w:val="auto"/>
        </w:rPr>
        <w:fldChar w:fldCharType="begin"/>
      </w:r>
      <w:r w:rsidRPr="00E47241">
        <w:rPr>
          <w:rFonts w:ascii="Times New Roman" w:hAnsi="Times New Roman" w:cs="Times New Roman"/>
          <w:color w:val="auto"/>
        </w:rPr>
        <w:instrText xml:space="preserve"> TC \l3 "</w:instrText>
      </w:r>
      <w:bookmarkStart w:id="115" w:name="_Toc363192361"/>
      <w:r w:rsidRPr="00E47241">
        <w:rPr>
          <w:rFonts w:ascii="Times New Roman" w:hAnsi="Times New Roman" w:cs="Times New Roman"/>
          <w:color w:val="auto"/>
        </w:rPr>
        <w:instrText>Powder River Basin 2006 Emissions</w:instrText>
      </w:r>
      <w:bookmarkEnd w:id="115"/>
      <w:r w:rsidR="00E21C92" w:rsidRPr="00E47241">
        <w:rPr>
          <w:rFonts w:ascii="Times New Roman" w:hAnsi="Times New Roman" w:cs="Times New Roman"/>
          <w:color w:val="auto"/>
        </w:rPr>
        <w:fldChar w:fldCharType="end"/>
      </w:r>
    </w:p>
    <w:p w:rsidR="00042617" w:rsidRPr="00C47C14" w:rsidRDefault="00042617" w:rsidP="00C47C14">
      <w:pPr>
        <w:pStyle w:val="Heading4"/>
        <w:jc w:val="center"/>
        <w:rPr>
          <w:rFonts w:ascii="Times New Roman" w:hAnsi="Times New Roman" w:cs="Times New Roman"/>
          <w:i w:val="0"/>
        </w:rPr>
      </w:pPr>
      <w:bookmarkStart w:id="116" w:name="_Toc369087038"/>
      <w:r w:rsidRPr="00C47C14">
        <w:rPr>
          <w:rFonts w:ascii="Times New Roman" w:hAnsi="Times New Roman" w:cs="Times New Roman"/>
          <w:i w:val="0"/>
          <w:color w:val="auto"/>
        </w:rPr>
        <w:t>Figure 8: Powder River Basin Boundaries Overlaid With 2006 OG Well Locations</w:t>
      </w:r>
      <w:bookmarkEnd w:id="116"/>
      <w:r w:rsidR="00E21C92" w:rsidRPr="00C47C14">
        <w:rPr>
          <w:rFonts w:ascii="Times New Roman" w:hAnsi="Times New Roman" w:cs="Times New Roman"/>
          <w:i w:val="0"/>
        </w:rPr>
        <w:fldChar w:fldCharType="begin"/>
      </w:r>
      <w:r w:rsidRPr="00C47C14">
        <w:rPr>
          <w:rFonts w:ascii="Times New Roman" w:hAnsi="Times New Roman" w:cs="Times New Roman"/>
          <w:i w:val="0"/>
        </w:rPr>
        <w:instrText xml:space="preserve"> TC \l4 "</w:instrText>
      </w:r>
      <w:bookmarkStart w:id="117" w:name="_Toc363192362"/>
      <w:r w:rsidRPr="00C47C14">
        <w:rPr>
          <w:rFonts w:ascii="Times New Roman" w:hAnsi="Times New Roman" w:cs="Times New Roman"/>
          <w:i w:val="0"/>
        </w:rPr>
        <w:instrText>Figure 8: Powder River Basin Boundaries Overlaid With 2006 O</w:instrText>
      </w:r>
      <w:r w:rsidR="007F272E">
        <w:rPr>
          <w:rFonts w:ascii="Times New Roman" w:hAnsi="Times New Roman" w:cs="Times New Roman"/>
          <w:i w:val="0"/>
        </w:rPr>
        <w:instrText>&amp;</w:instrText>
      </w:r>
      <w:r w:rsidRPr="00C47C14">
        <w:rPr>
          <w:rFonts w:ascii="Times New Roman" w:hAnsi="Times New Roman" w:cs="Times New Roman"/>
          <w:i w:val="0"/>
        </w:rPr>
        <w:instrText>G Well Locations</w:instrText>
      </w:r>
      <w:bookmarkEnd w:id="117"/>
      <w:r w:rsidR="00E21C92" w:rsidRPr="00C47C14">
        <w:rPr>
          <w:rFonts w:ascii="Times New Roman" w:hAnsi="Times New Roman" w:cs="Times New Roman"/>
          <w:i w:val="0"/>
        </w:rPr>
        <w:fldChar w:fldCharType="end"/>
      </w:r>
    </w:p>
    <w:p w:rsidR="00042617" w:rsidRPr="00D15774" w:rsidRDefault="007376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rPr>
          <w:rStyle w:val="FigureChar"/>
          <w:rFonts w:ascii="Times New Roman" w:hAnsi="Times New Roman"/>
          <w:sz w:val="24"/>
        </w:rPr>
      </w:pPr>
      <w:r w:rsidRPr="00D15774">
        <w:rPr>
          <w:b/>
          <w:noProof/>
          <w:sz w:val="22"/>
        </w:rPr>
        <mc:AlternateContent>
          <mc:Choice Requires="wps">
            <w:drawing>
              <wp:inline distT="0" distB="0" distL="0" distR="0" wp14:anchorId="083C3E39" wp14:editId="0A2BB846">
                <wp:extent cx="5920105" cy="6667500"/>
                <wp:effectExtent l="0" t="0" r="4445" b="0"/>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666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938" w:rsidRDefault="00645938">
                            <w:r>
                              <w:rPr>
                                <w:noProof/>
                              </w:rPr>
                              <w:drawing>
                                <wp:inline distT="0" distB="0" distL="0" distR="0" wp14:anchorId="74319586" wp14:editId="2D423210">
                                  <wp:extent cx="5915025" cy="66675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srcRect/>
                                          <a:stretch>
                                            <a:fillRect/>
                                          </a:stretch>
                                        </pic:blipFill>
                                        <pic:spPr bwMode="auto">
                                          <a:xfrm>
                                            <a:off x="0" y="0"/>
                                            <a:ext cx="5915025" cy="6667500"/>
                                          </a:xfrm>
                                          <a:prstGeom prst="rect">
                                            <a:avLst/>
                                          </a:prstGeom>
                                          <a:no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inline>
            </w:drawing>
          </mc:Choice>
          <mc:Fallback>
            <w:pict>
              <v:shape w14:anchorId="083C3E39" id="Text Box 4" o:spid="_x0000_s1029" type="#_x0000_t202" style="width:466.15pt;height:5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" stroked="f">
                <v:textbox style="mso-fit-shape-to-text:t" inset="0,0,0,0">
                  <w:txbxContent>
                    <w:p w:rsidR="00645938" w:rsidRDefault="00645938">
                      <w:r>
                        <w:rPr>
                          <w:noProof/>
                        </w:rPr>
                        <w:drawing>
                          <wp:inline distT="0" distB="0" distL="0" distR="0" wp14:anchorId="74319586" wp14:editId="2D423210">
                            <wp:extent cx="5915025" cy="66675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srcRect/>
                                    <a:stretch>
                                      <a:fillRect/>
                                    </a:stretch>
                                  </pic:blipFill>
                                  <pic:spPr bwMode="auto">
                                    <a:xfrm>
                                      <a:off x="0" y="0"/>
                                      <a:ext cx="5915025" cy="6667500"/>
                                    </a:xfrm>
                                    <a:prstGeom prst="rect">
                                      <a:avLst/>
                                    </a:prstGeom>
                                    <a:noFill/>
                                    <a:ln w="9525">
                                      <a:noFill/>
                                      <a:miter lim="800000"/>
                                      <a:headEnd/>
                                      <a:tailEnd/>
                                    </a:ln>
                                  </pic:spPr>
                                </pic:pic>
                              </a:graphicData>
                            </a:graphic>
                          </wp:inline>
                        </w:drawing>
                      </w:r>
                    </w:p>
                  </w:txbxContent>
                </v:textbox>
                <w10:anchorlock/>
              </v:shape>
            </w:pict>
          </mc:Fallback>
        </mc:AlternateContent>
      </w: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rPr>
          <w:rStyle w:val="FigureChar"/>
          <w:rFonts w:ascii="Times New Roman" w:hAnsi="Times New Roman"/>
          <w:b w:val="0"/>
          <w:sz w:val="24"/>
        </w:rPr>
      </w:pPr>
      <w:r w:rsidRPr="00D15774">
        <w:rPr>
          <w:rStyle w:val="FigureChar"/>
          <w:rFonts w:ascii="Times New Roman" w:hAnsi="Times New Roman"/>
          <w:sz w:val="24"/>
        </w:rPr>
        <w:br w:type="page"/>
      </w:r>
      <w:r w:rsidR="00A04C7D" w:rsidRPr="00D15774">
        <w:rPr>
          <w:rStyle w:val="FigureChar"/>
          <w:rFonts w:ascii="Times New Roman" w:hAnsi="Times New Roman"/>
          <w:b w:val="0"/>
          <w:sz w:val="24"/>
        </w:rPr>
        <w:lastRenderedPageBreak/>
        <w:t>Table 1</w:t>
      </w:r>
      <w:r w:rsidR="00416BE9" w:rsidRPr="00D15774">
        <w:rPr>
          <w:rStyle w:val="FigureChar"/>
          <w:rFonts w:ascii="Times New Roman" w:hAnsi="Times New Roman"/>
          <w:b w:val="0"/>
          <w:sz w:val="24"/>
        </w:rPr>
        <w:t>7</w:t>
      </w:r>
      <w:r w:rsidRPr="00D15774">
        <w:rPr>
          <w:rStyle w:val="FigureChar"/>
          <w:rFonts w:ascii="Times New Roman" w:hAnsi="Times New Roman"/>
          <w:b w:val="0"/>
          <w:sz w:val="24"/>
        </w:rPr>
        <w:t xml:space="preserve"> contains a listing of the Powder River Basin NOx emissions from the </w:t>
      </w:r>
      <w:r w:rsidR="0099797E" w:rsidRPr="00D15774">
        <w:rPr>
          <w:rStyle w:val="FigureChar"/>
          <w:rFonts w:ascii="Times New Roman" w:hAnsi="Times New Roman"/>
          <w:b w:val="0"/>
          <w:sz w:val="24"/>
        </w:rPr>
        <w:t>ENVIRON</w:t>
      </w:r>
      <w:r w:rsidRPr="00D15774">
        <w:rPr>
          <w:rStyle w:val="FigureChar"/>
          <w:rFonts w:ascii="Times New Roman" w:hAnsi="Times New Roman"/>
          <w:b w:val="0"/>
          <w:sz w:val="24"/>
        </w:rPr>
        <w:t>’s June 10, 2011 Technical Memo, “DEVELOPMENT OF BASELINE 2006 EMISSIONS FROM OIL AND GAS ACTIVITY IN THE POWDER RIVER BASIN” located at:</w:t>
      </w: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rPr>
          <w:rStyle w:val="FigureChar"/>
          <w:rFonts w:ascii="Times New Roman" w:hAnsi="Times New Roman"/>
          <w:b w:val="0"/>
          <w:sz w:val="24"/>
        </w:rPr>
      </w:pPr>
    </w:p>
    <w:p w:rsidR="00042617" w:rsidRPr="00D15774" w:rsidRDefault="00645938" w:rsidP="000D6C31">
      <w:pPr>
        <w:tabs>
          <w:tab w:val="center" w:pos="5760"/>
        </w:tabs>
        <w:spacing w:line="300" w:lineRule="auto"/>
        <w:ind w:left="-540" w:right="-450"/>
        <w:jc w:val="center"/>
        <w:rPr>
          <w:rStyle w:val="FigureChar"/>
          <w:rFonts w:ascii="Times New Roman" w:hAnsi="Times New Roman"/>
          <w:b w:val="0"/>
          <w:sz w:val="24"/>
          <w:szCs w:val="24"/>
        </w:rPr>
      </w:pPr>
      <w:hyperlink r:id="rId51" w:history="1">
        <w:r w:rsidR="00E679FD" w:rsidRPr="00D15774">
          <w:rPr>
            <w:rStyle w:val="Hyperlink"/>
            <w:b w:val="0"/>
            <w:sz w:val="24"/>
            <w:szCs w:val="24"/>
          </w:rPr>
          <w:t>http://www.wrapair2.org/pdf/2011-06_%2706%20Baseline%20Emissions;%20Powder%20River%20Basin%20%2806-10%29.pdf</w:t>
        </w:r>
      </w:hyperlink>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rPr>
          <w:rStyle w:val="FigureChar"/>
          <w:rFonts w:ascii="Times New Roman" w:hAnsi="Times New Roman"/>
          <w:b w:val="0"/>
          <w:sz w:val="24"/>
        </w:rPr>
      </w:pPr>
    </w:p>
    <w:p w:rsidR="00042617" w:rsidRPr="00C47C14" w:rsidRDefault="00A04C7D" w:rsidP="00C47C14">
      <w:pPr>
        <w:pStyle w:val="Heading4"/>
        <w:jc w:val="center"/>
        <w:rPr>
          <w:rStyle w:val="FigureChar"/>
          <w:rFonts w:ascii="Times New Roman" w:hAnsi="Times New Roman" w:cs="Times New Roman"/>
          <w:b/>
          <w:i w:val="0"/>
          <w:sz w:val="24"/>
        </w:rPr>
      </w:pPr>
      <w:bookmarkStart w:id="118" w:name="_Toc369087039"/>
      <w:r w:rsidRPr="00C47C14">
        <w:rPr>
          <w:rStyle w:val="FigureChar"/>
          <w:rFonts w:ascii="Times New Roman" w:hAnsi="Times New Roman" w:cs="Times New Roman"/>
          <w:b/>
          <w:i w:val="0"/>
          <w:color w:val="auto"/>
          <w:sz w:val="24"/>
        </w:rPr>
        <w:t>Table 1</w:t>
      </w:r>
      <w:r w:rsidR="00416BE9" w:rsidRPr="00C47C14">
        <w:rPr>
          <w:rStyle w:val="FigureChar"/>
          <w:rFonts w:ascii="Times New Roman" w:hAnsi="Times New Roman" w:cs="Times New Roman"/>
          <w:b/>
          <w:i w:val="0"/>
          <w:color w:val="auto"/>
          <w:sz w:val="24"/>
        </w:rPr>
        <w:t>7</w:t>
      </w:r>
      <w:r w:rsidR="00042617" w:rsidRPr="00C47C14">
        <w:rPr>
          <w:rStyle w:val="FigureChar"/>
          <w:rFonts w:ascii="Times New Roman" w:hAnsi="Times New Roman" w:cs="Times New Roman"/>
          <w:b/>
          <w:i w:val="0"/>
          <w:color w:val="auto"/>
          <w:sz w:val="24"/>
        </w:rPr>
        <w:t>: Powder River Basin 2006 NOx Emission Sources (</w:t>
      </w:r>
      <w:r w:rsidR="0059687A" w:rsidRPr="00C47C14">
        <w:rPr>
          <w:rStyle w:val="FigureChar"/>
          <w:rFonts w:ascii="Times New Roman" w:hAnsi="Times New Roman" w:cs="Times New Roman"/>
          <w:b/>
          <w:i w:val="0"/>
          <w:color w:val="auto"/>
          <w:sz w:val="24"/>
        </w:rPr>
        <w:t>tpy</w:t>
      </w:r>
      <w:r w:rsidR="00042617" w:rsidRPr="00C47C14">
        <w:rPr>
          <w:rStyle w:val="FigureChar"/>
          <w:rFonts w:ascii="Times New Roman" w:hAnsi="Times New Roman" w:cs="Times New Roman"/>
          <w:b/>
          <w:i w:val="0"/>
          <w:color w:val="auto"/>
          <w:sz w:val="24"/>
        </w:rPr>
        <w:t>)</w:t>
      </w:r>
      <w:bookmarkEnd w:id="118"/>
      <w:r w:rsidR="00E21C92" w:rsidRPr="00C47C14">
        <w:rPr>
          <w:rFonts w:ascii="Times New Roman" w:hAnsi="Times New Roman" w:cs="Times New Roman"/>
          <w:i w:val="0"/>
        </w:rPr>
        <w:fldChar w:fldCharType="begin"/>
      </w:r>
      <w:r w:rsidR="00042617" w:rsidRPr="00C47C14">
        <w:rPr>
          <w:rStyle w:val="FigureChar"/>
          <w:rFonts w:ascii="Times New Roman" w:hAnsi="Times New Roman" w:cs="Times New Roman"/>
          <w:b/>
          <w:i w:val="0"/>
          <w:sz w:val="24"/>
        </w:rPr>
        <w:instrText xml:space="preserve"> TC \l4 "</w:instrText>
      </w:r>
      <w:bookmarkStart w:id="119" w:name="_Toc363192363"/>
      <w:r w:rsidR="00042617" w:rsidRPr="00C47C14">
        <w:rPr>
          <w:rStyle w:val="FigureChar"/>
          <w:rFonts w:ascii="Times New Roman" w:hAnsi="Times New Roman" w:cs="Times New Roman"/>
          <w:b/>
          <w:i w:val="0"/>
          <w:sz w:val="24"/>
        </w:rPr>
        <w:instrText>Table 15: Powder River Basin 2006 NOx Emission Sources (TPY)</w:instrText>
      </w:r>
      <w:bookmarkEnd w:id="119"/>
      <w:r w:rsidR="00E21C92" w:rsidRPr="00C47C14">
        <w:rPr>
          <w:rFonts w:ascii="Times New Roman" w:hAnsi="Times New Roman" w:cs="Times New Roman"/>
          <w:i w:val="0"/>
        </w:rPr>
        <w:fldChar w:fldCharType="end"/>
      </w:r>
    </w:p>
    <w:tbl>
      <w:tblPr>
        <w:tblW w:w="10959" w:type="dxa"/>
        <w:jc w:val="center"/>
        <w:tblBorders>
          <w:top w:val="nil"/>
          <w:left w:val="nil"/>
          <w:bottom w:val="nil"/>
          <w:right w:val="nil"/>
          <w:insideH w:val="nil"/>
          <w:insideV w:val="nil"/>
        </w:tblBorders>
        <w:tblLayout w:type="fixed"/>
        <w:tblCellMar>
          <w:left w:w="65" w:type="dxa"/>
          <w:right w:w="65" w:type="dxa"/>
        </w:tblCellMar>
        <w:tblLook w:val="0000" w:firstRow="0" w:lastRow="0" w:firstColumn="0" w:lastColumn="0" w:noHBand="0" w:noVBand="0"/>
      </w:tblPr>
      <w:tblGrid>
        <w:gridCol w:w="2460"/>
        <w:gridCol w:w="1276"/>
        <w:gridCol w:w="715"/>
        <w:gridCol w:w="876"/>
        <w:gridCol w:w="1446"/>
        <w:gridCol w:w="936"/>
        <w:gridCol w:w="1276"/>
        <w:gridCol w:w="1146"/>
        <w:gridCol w:w="828"/>
      </w:tblGrid>
      <w:tr w:rsidR="00042617" w:rsidRPr="00D15774" w:rsidTr="006E2C18">
        <w:trPr>
          <w:trHeight w:val="253"/>
          <w:jc w:val="center"/>
        </w:trPr>
        <w:tc>
          <w:tcPr>
            <w:tcW w:w="2460"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rStyle w:val="FigureChar"/>
                <w:rFonts w:ascii="Times New Roman" w:hAnsi="Times New Roman"/>
                <w:b w:val="0"/>
                <w:sz w:val="20"/>
              </w:rPr>
            </w:pPr>
          </w:p>
        </w:tc>
        <w:tc>
          <w:tcPr>
            <w:tcW w:w="1276"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rStyle w:val="FigureChar"/>
                <w:rFonts w:ascii="Times New Roman" w:hAnsi="Times New Roman"/>
                <w:b w:val="0"/>
                <w:sz w:val="20"/>
              </w:rPr>
            </w:pPr>
            <w:r w:rsidRPr="00D15774">
              <w:rPr>
                <w:rStyle w:val="FigureChar"/>
                <w:rFonts w:ascii="Times New Roman" w:hAnsi="Times New Roman"/>
                <w:b w:val="0"/>
                <w:sz w:val="20"/>
              </w:rPr>
              <w:t>Compressor Engines</w:t>
            </w:r>
          </w:p>
        </w:tc>
        <w:tc>
          <w:tcPr>
            <w:tcW w:w="715"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rStyle w:val="FigureChar"/>
                <w:rFonts w:ascii="Times New Roman" w:hAnsi="Times New Roman"/>
                <w:b w:val="0"/>
                <w:sz w:val="20"/>
              </w:rPr>
            </w:pPr>
            <w:r w:rsidRPr="00D15774">
              <w:rPr>
                <w:rStyle w:val="FigureChar"/>
                <w:rFonts w:ascii="Times New Roman" w:hAnsi="Times New Roman"/>
                <w:b w:val="0"/>
                <w:sz w:val="20"/>
              </w:rPr>
              <w:t>Drill Rigs</w:t>
            </w:r>
          </w:p>
        </w:tc>
        <w:tc>
          <w:tcPr>
            <w:tcW w:w="876"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rStyle w:val="FigureChar"/>
                <w:rFonts w:ascii="Times New Roman" w:hAnsi="Times New Roman"/>
                <w:b w:val="0"/>
                <w:sz w:val="20"/>
              </w:rPr>
            </w:pPr>
            <w:r w:rsidRPr="00D15774">
              <w:rPr>
                <w:rStyle w:val="FigureChar"/>
                <w:rFonts w:ascii="Times New Roman" w:hAnsi="Times New Roman"/>
                <w:b w:val="0"/>
                <w:sz w:val="20"/>
              </w:rPr>
              <w:t>Heaters</w:t>
            </w:r>
          </w:p>
        </w:tc>
        <w:tc>
          <w:tcPr>
            <w:tcW w:w="1446"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rStyle w:val="FigureChar"/>
                <w:rFonts w:ascii="Times New Roman" w:hAnsi="Times New Roman"/>
                <w:b w:val="0"/>
                <w:sz w:val="20"/>
              </w:rPr>
            </w:pPr>
            <w:r w:rsidRPr="00D15774">
              <w:rPr>
                <w:rStyle w:val="FigureChar"/>
                <w:rFonts w:ascii="Times New Roman" w:hAnsi="Times New Roman"/>
                <w:b w:val="0"/>
                <w:sz w:val="20"/>
              </w:rPr>
              <w:t>Miscellaneous</w:t>
            </w:r>
          </w:p>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rStyle w:val="FigureChar"/>
                <w:rFonts w:ascii="Times New Roman" w:hAnsi="Times New Roman"/>
                <w:b w:val="0"/>
                <w:sz w:val="20"/>
              </w:rPr>
            </w:pPr>
            <w:r w:rsidRPr="00D15774">
              <w:rPr>
                <w:rStyle w:val="FigureChar"/>
                <w:rFonts w:ascii="Times New Roman" w:hAnsi="Times New Roman"/>
                <w:b w:val="0"/>
                <w:sz w:val="20"/>
              </w:rPr>
              <w:t>Engines</w:t>
            </w:r>
          </w:p>
        </w:tc>
        <w:tc>
          <w:tcPr>
            <w:tcW w:w="936"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rStyle w:val="FigureChar"/>
                <w:rFonts w:ascii="Times New Roman" w:hAnsi="Times New Roman"/>
                <w:b w:val="0"/>
                <w:sz w:val="20"/>
              </w:rPr>
            </w:pPr>
            <w:r w:rsidRPr="00D15774">
              <w:rPr>
                <w:rStyle w:val="FigureChar"/>
                <w:rFonts w:ascii="Times New Roman" w:hAnsi="Times New Roman"/>
                <w:b w:val="0"/>
                <w:sz w:val="20"/>
              </w:rPr>
              <w:t>Artificial Lift</w:t>
            </w:r>
          </w:p>
        </w:tc>
        <w:tc>
          <w:tcPr>
            <w:tcW w:w="1276"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rStyle w:val="FigureChar"/>
                <w:rFonts w:ascii="Times New Roman" w:hAnsi="Times New Roman"/>
                <w:b w:val="0"/>
                <w:sz w:val="20"/>
              </w:rPr>
            </w:pPr>
            <w:r w:rsidRPr="00D15774">
              <w:rPr>
                <w:rStyle w:val="FigureChar"/>
                <w:rFonts w:ascii="Times New Roman" w:hAnsi="Times New Roman"/>
                <w:b w:val="0"/>
                <w:sz w:val="20"/>
              </w:rPr>
              <w:t>Dehydrators</w:t>
            </w:r>
          </w:p>
        </w:tc>
        <w:tc>
          <w:tcPr>
            <w:tcW w:w="1146"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rStyle w:val="FigureChar"/>
                <w:rFonts w:ascii="Times New Roman" w:hAnsi="Times New Roman"/>
                <w:b w:val="0"/>
                <w:sz w:val="20"/>
              </w:rPr>
            </w:pPr>
            <w:r w:rsidRPr="00D15774">
              <w:rPr>
                <w:rStyle w:val="FigureChar"/>
                <w:rFonts w:ascii="Times New Roman" w:hAnsi="Times New Roman"/>
                <w:b w:val="0"/>
                <w:sz w:val="20"/>
              </w:rPr>
              <w:t>Other Categories</w:t>
            </w:r>
          </w:p>
        </w:tc>
        <w:tc>
          <w:tcPr>
            <w:tcW w:w="828" w:type="dxa"/>
            <w:tcBorders>
              <w:top w:val="single" w:sz="10" w:space="0" w:color="000000"/>
              <w:left w:val="single" w:sz="10" w:space="0" w:color="000000"/>
              <w:bottom w:val="single" w:sz="10" w:space="0" w:color="000000"/>
              <w:right w:val="single" w:sz="10" w:space="0" w:color="000000"/>
            </w:tcBorders>
            <w:shd w:val="pct10" w:color="000000" w:fill="auto"/>
            <w:tcMar>
              <w:left w:w="0" w:type="dxa"/>
              <w:right w:w="0" w:type="dxa"/>
            </w:tcMar>
            <w:vAlign w:val="bottom"/>
          </w:tcPr>
          <w:p w:rsidR="007F197C" w:rsidRPr="00D15774" w:rsidRDefault="007F197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rStyle w:val="FigureChar"/>
                <w:rFonts w:ascii="Times New Roman" w:hAnsi="Times New Roman"/>
                <w:b w:val="0"/>
                <w:sz w:val="20"/>
              </w:rPr>
            </w:pPr>
            <w:r w:rsidRPr="00D15774">
              <w:rPr>
                <w:rStyle w:val="FigureChar"/>
                <w:rFonts w:ascii="Times New Roman" w:hAnsi="Times New Roman"/>
                <w:b w:val="0"/>
                <w:sz w:val="20"/>
              </w:rPr>
              <w:t>Grand</w:t>
            </w:r>
          </w:p>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rStyle w:val="FigureChar"/>
                <w:rFonts w:ascii="Times New Roman" w:hAnsi="Times New Roman"/>
                <w:b w:val="0"/>
                <w:sz w:val="20"/>
              </w:rPr>
            </w:pPr>
            <w:r w:rsidRPr="00D15774">
              <w:rPr>
                <w:rStyle w:val="FigureChar"/>
                <w:rFonts w:ascii="Times New Roman" w:hAnsi="Times New Roman"/>
                <w:b w:val="0"/>
                <w:sz w:val="20"/>
              </w:rPr>
              <w:t>Total</w:t>
            </w:r>
          </w:p>
        </w:tc>
      </w:tr>
      <w:tr w:rsidR="00042617" w:rsidRPr="00D15774" w:rsidTr="000842CB">
        <w:trPr>
          <w:trHeight w:val="144"/>
          <w:jc w:val="center"/>
        </w:trPr>
        <w:tc>
          <w:tcPr>
            <w:tcW w:w="2460" w:type="dxa"/>
            <w:tcBorders>
              <w:top w:val="nil"/>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rStyle w:val="FigureChar"/>
                <w:rFonts w:ascii="Times New Roman" w:hAnsi="Times New Roman"/>
                <w:b w:val="0"/>
                <w:sz w:val="20"/>
              </w:rPr>
            </w:pPr>
            <w:r w:rsidRPr="00D15774">
              <w:rPr>
                <w:rStyle w:val="FigureChar"/>
                <w:rFonts w:ascii="Times New Roman" w:hAnsi="Times New Roman"/>
                <w:b w:val="0"/>
                <w:sz w:val="20"/>
              </w:rPr>
              <w:t>Total Tons</w:t>
            </w:r>
          </w:p>
        </w:tc>
        <w:tc>
          <w:tcPr>
            <w:tcW w:w="127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rStyle w:val="FigureChar"/>
                <w:rFonts w:ascii="Times New Roman" w:hAnsi="Times New Roman"/>
                <w:b w:val="0"/>
                <w:sz w:val="20"/>
              </w:rPr>
            </w:pPr>
            <w:r w:rsidRPr="00D15774">
              <w:rPr>
                <w:rStyle w:val="FigureChar"/>
                <w:rFonts w:ascii="Times New Roman" w:hAnsi="Times New Roman"/>
                <w:b w:val="0"/>
                <w:sz w:val="20"/>
              </w:rPr>
              <w:t>9,320</w:t>
            </w:r>
          </w:p>
        </w:tc>
        <w:tc>
          <w:tcPr>
            <w:tcW w:w="715"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rStyle w:val="FigureChar"/>
                <w:rFonts w:ascii="Times New Roman" w:hAnsi="Times New Roman"/>
                <w:b w:val="0"/>
                <w:sz w:val="20"/>
              </w:rPr>
            </w:pPr>
            <w:r w:rsidRPr="00D15774">
              <w:rPr>
                <w:rStyle w:val="FigureChar"/>
                <w:rFonts w:ascii="Times New Roman" w:hAnsi="Times New Roman"/>
                <w:b w:val="0"/>
                <w:sz w:val="20"/>
              </w:rPr>
              <w:t>5,796</w:t>
            </w:r>
          </w:p>
        </w:tc>
        <w:tc>
          <w:tcPr>
            <w:tcW w:w="87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rStyle w:val="FigureChar"/>
                <w:rFonts w:ascii="Times New Roman" w:hAnsi="Times New Roman"/>
                <w:b w:val="0"/>
                <w:sz w:val="20"/>
              </w:rPr>
            </w:pPr>
            <w:r w:rsidRPr="00D15774">
              <w:rPr>
                <w:rStyle w:val="FigureChar"/>
                <w:rFonts w:ascii="Times New Roman" w:hAnsi="Times New Roman"/>
                <w:b w:val="0"/>
                <w:sz w:val="20"/>
              </w:rPr>
              <w:t>351</w:t>
            </w:r>
          </w:p>
        </w:tc>
        <w:tc>
          <w:tcPr>
            <w:tcW w:w="144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rStyle w:val="FigureChar"/>
                <w:rFonts w:ascii="Times New Roman" w:hAnsi="Times New Roman"/>
                <w:b w:val="0"/>
                <w:sz w:val="20"/>
              </w:rPr>
            </w:pPr>
            <w:r w:rsidRPr="00D15774">
              <w:rPr>
                <w:rStyle w:val="FigureChar"/>
                <w:rFonts w:ascii="Times New Roman" w:hAnsi="Times New Roman"/>
                <w:b w:val="0"/>
                <w:sz w:val="20"/>
              </w:rPr>
              <w:t>4,136</w:t>
            </w:r>
          </w:p>
        </w:tc>
        <w:tc>
          <w:tcPr>
            <w:tcW w:w="93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rStyle w:val="FigureChar"/>
                <w:rFonts w:ascii="Times New Roman" w:hAnsi="Times New Roman"/>
                <w:b w:val="0"/>
                <w:sz w:val="20"/>
              </w:rPr>
            </w:pPr>
            <w:r w:rsidRPr="00D15774">
              <w:rPr>
                <w:rStyle w:val="FigureChar"/>
                <w:rFonts w:ascii="Times New Roman" w:hAnsi="Times New Roman"/>
                <w:b w:val="0"/>
                <w:sz w:val="20"/>
              </w:rPr>
              <w:t>469</w:t>
            </w:r>
          </w:p>
        </w:tc>
        <w:tc>
          <w:tcPr>
            <w:tcW w:w="127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rStyle w:val="FigureChar"/>
                <w:rFonts w:ascii="Times New Roman" w:hAnsi="Times New Roman"/>
                <w:b w:val="0"/>
                <w:sz w:val="20"/>
              </w:rPr>
            </w:pPr>
            <w:r w:rsidRPr="00D15774">
              <w:rPr>
                <w:rStyle w:val="FigureChar"/>
                <w:rFonts w:ascii="Times New Roman" w:hAnsi="Times New Roman"/>
                <w:b w:val="0"/>
                <w:sz w:val="20"/>
              </w:rPr>
              <w:t>20</w:t>
            </w:r>
          </w:p>
        </w:tc>
        <w:tc>
          <w:tcPr>
            <w:tcW w:w="114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rStyle w:val="FigureChar"/>
                <w:rFonts w:ascii="Times New Roman" w:hAnsi="Times New Roman"/>
                <w:b w:val="0"/>
                <w:sz w:val="20"/>
              </w:rPr>
            </w:pPr>
            <w:r w:rsidRPr="00D15774">
              <w:rPr>
                <w:rStyle w:val="FigureChar"/>
                <w:rFonts w:ascii="Times New Roman" w:hAnsi="Times New Roman"/>
                <w:b w:val="0"/>
                <w:sz w:val="20"/>
              </w:rPr>
              <w:t>995</w:t>
            </w:r>
          </w:p>
        </w:tc>
        <w:tc>
          <w:tcPr>
            <w:tcW w:w="828"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rStyle w:val="FigureChar"/>
                <w:rFonts w:ascii="Times New Roman" w:hAnsi="Times New Roman"/>
                <w:b w:val="0"/>
                <w:sz w:val="20"/>
              </w:rPr>
            </w:pPr>
            <w:r w:rsidRPr="00D15774">
              <w:rPr>
                <w:rStyle w:val="FigureChar"/>
                <w:rFonts w:ascii="Times New Roman" w:hAnsi="Times New Roman"/>
                <w:b w:val="0"/>
                <w:sz w:val="20"/>
              </w:rPr>
              <w:t>21,086</w:t>
            </w:r>
          </w:p>
        </w:tc>
      </w:tr>
      <w:tr w:rsidR="00042617" w:rsidRPr="00D15774" w:rsidTr="000842CB">
        <w:trPr>
          <w:trHeight w:val="144"/>
          <w:jc w:val="center"/>
        </w:trPr>
        <w:tc>
          <w:tcPr>
            <w:tcW w:w="2460"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rStyle w:val="FigureChar"/>
                <w:rFonts w:ascii="Times New Roman" w:hAnsi="Times New Roman"/>
                <w:b w:val="0"/>
                <w:sz w:val="20"/>
              </w:rPr>
            </w:pPr>
            <w:r w:rsidRPr="00D15774">
              <w:rPr>
                <w:rStyle w:val="FigureChar"/>
                <w:rFonts w:ascii="Times New Roman" w:hAnsi="Times New Roman"/>
                <w:b w:val="0"/>
                <w:sz w:val="20"/>
              </w:rPr>
              <w:t>Percent of Total</w:t>
            </w:r>
          </w:p>
        </w:tc>
        <w:tc>
          <w:tcPr>
            <w:tcW w:w="127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rStyle w:val="FigureChar"/>
                <w:rFonts w:ascii="Times New Roman" w:hAnsi="Times New Roman"/>
                <w:b w:val="0"/>
                <w:sz w:val="20"/>
              </w:rPr>
            </w:pPr>
            <w:r w:rsidRPr="00D15774">
              <w:rPr>
                <w:rStyle w:val="FigureChar"/>
                <w:rFonts w:ascii="Times New Roman" w:hAnsi="Times New Roman"/>
                <w:b w:val="0"/>
                <w:sz w:val="20"/>
              </w:rPr>
              <w:t>44%</w:t>
            </w:r>
          </w:p>
        </w:tc>
        <w:tc>
          <w:tcPr>
            <w:tcW w:w="715"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rStyle w:val="FigureChar"/>
                <w:rFonts w:ascii="Times New Roman" w:hAnsi="Times New Roman"/>
                <w:b w:val="0"/>
                <w:sz w:val="20"/>
              </w:rPr>
            </w:pPr>
            <w:r w:rsidRPr="00D15774">
              <w:rPr>
                <w:rStyle w:val="FigureChar"/>
                <w:rFonts w:ascii="Times New Roman" w:hAnsi="Times New Roman"/>
                <w:b w:val="0"/>
                <w:sz w:val="20"/>
              </w:rPr>
              <w:t>27%</w:t>
            </w:r>
          </w:p>
        </w:tc>
        <w:tc>
          <w:tcPr>
            <w:tcW w:w="87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rStyle w:val="FigureChar"/>
                <w:rFonts w:ascii="Times New Roman" w:hAnsi="Times New Roman"/>
                <w:b w:val="0"/>
                <w:sz w:val="20"/>
              </w:rPr>
            </w:pPr>
            <w:r w:rsidRPr="00D15774">
              <w:rPr>
                <w:rStyle w:val="FigureChar"/>
                <w:rFonts w:ascii="Times New Roman" w:hAnsi="Times New Roman"/>
                <w:b w:val="0"/>
                <w:sz w:val="20"/>
              </w:rPr>
              <w:t>2%</w:t>
            </w:r>
          </w:p>
        </w:tc>
        <w:tc>
          <w:tcPr>
            <w:tcW w:w="144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rStyle w:val="FigureChar"/>
                <w:rFonts w:ascii="Times New Roman" w:hAnsi="Times New Roman"/>
                <w:b w:val="0"/>
                <w:sz w:val="20"/>
              </w:rPr>
            </w:pPr>
            <w:r w:rsidRPr="00D15774">
              <w:rPr>
                <w:rStyle w:val="FigureChar"/>
                <w:rFonts w:ascii="Times New Roman" w:hAnsi="Times New Roman"/>
                <w:b w:val="0"/>
                <w:sz w:val="20"/>
              </w:rPr>
              <w:t>20%</w:t>
            </w:r>
          </w:p>
        </w:tc>
        <w:tc>
          <w:tcPr>
            <w:tcW w:w="93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rStyle w:val="FigureChar"/>
                <w:rFonts w:ascii="Times New Roman" w:hAnsi="Times New Roman"/>
                <w:b w:val="0"/>
                <w:sz w:val="20"/>
              </w:rPr>
            </w:pPr>
            <w:r w:rsidRPr="00D15774">
              <w:rPr>
                <w:rStyle w:val="FigureChar"/>
                <w:rFonts w:ascii="Times New Roman" w:hAnsi="Times New Roman"/>
                <w:b w:val="0"/>
                <w:sz w:val="20"/>
              </w:rPr>
              <w:t>2%</w:t>
            </w:r>
          </w:p>
        </w:tc>
        <w:tc>
          <w:tcPr>
            <w:tcW w:w="127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rStyle w:val="FigureChar"/>
                <w:rFonts w:ascii="Times New Roman" w:hAnsi="Times New Roman"/>
                <w:b w:val="0"/>
                <w:sz w:val="20"/>
              </w:rPr>
            </w:pPr>
            <w:r w:rsidRPr="00D15774">
              <w:rPr>
                <w:rStyle w:val="FigureChar"/>
                <w:rFonts w:ascii="Times New Roman" w:hAnsi="Times New Roman"/>
                <w:b w:val="0"/>
                <w:sz w:val="20"/>
              </w:rPr>
              <w:t>0%</w:t>
            </w:r>
          </w:p>
        </w:tc>
        <w:tc>
          <w:tcPr>
            <w:tcW w:w="114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rStyle w:val="FigureChar"/>
                <w:rFonts w:ascii="Times New Roman" w:hAnsi="Times New Roman"/>
                <w:b w:val="0"/>
                <w:sz w:val="20"/>
              </w:rPr>
            </w:pPr>
            <w:r w:rsidRPr="00D15774">
              <w:rPr>
                <w:rStyle w:val="FigureChar"/>
                <w:rFonts w:ascii="Times New Roman" w:hAnsi="Times New Roman"/>
                <w:b w:val="0"/>
                <w:sz w:val="20"/>
              </w:rPr>
              <w:t>5%</w:t>
            </w:r>
          </w:p>
        </w:tc>
        <w:tc>
          <w:tcPr>
            <w:tcW w:w="828"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rStyle w:val="FigureChar"/>
                <w:rFonts w:ascii="Times New Roman" w:hAnsi="Times New Roman"/>
                <w:b w:val="0"/>
                <w:sz w:val="20"/>
              </w:rPr>
            </w:pPr>
            <w:r w:rsidRPr="00D15774">
              <w:rPr>
                <w:rStyle w:val="FigureChar"/>
                <w:rFonts w:ascii="Times New Roman" w:hAnsi="Times New Roman"/>
                <w:b w:val="0"/>
                <w:sz w:val="20"/>
              </w:rPr>
              <w:t>100%</w:t>
            </w:r>
          </w:p>
        </w:tc>
      </w:tr>
      <w:tr w:rsidR="00042617" w:rsidRPr="00D15774" w:rsidTr="006E2C18">
        <w:trPr>
          <w:trHeight w:hRule="exact" w:val="144"/>
          <w:jc w:val="center"/>
        </w:trPr>
        <w:tc>
          <w:tcPr>
            <w:tcW w:w="246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rStyle w:val="FigureChar"/>
                <w:rFonts w:ascii="Times New Roman" w:hAnsi="Times New Roman"/>
                <w:b w:val="0"/>
                <w:sz w:val="20"/>
              </w:rPr>
            </w:pPr>
          </w:p>
        </w:tc>
        <w:tc>
          <w:tcPr>
            <w:tcW w:w="127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rStyle w:val="FigureChar"/>
                <w:rFonts w:ascii="Times New Roman" w:hAnsi="Times New Roman"/>
                <w:b w:val="0"/>
                <w:sz w:val="20"/>
              </w:rPr>
            </w:pPr>
          </w:p>
        </w:tc>
        <w:tc>
          <w:tcPr>
            <w:tcW w:w="715"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rStyle w:val="FigureChar"/>
                <w:rFonts w:ascii="Times New Roman" w:hAnsi="Times New Roman"/>
                <w:b w:val="0"/>
                <w:sz w:val="20"/>
              </w:rPr>
            </w:pPr>
          </w:p>
        </w:tc>
        <w:tc>
          <w:tcPr>
            <w:tcW w:w="87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rStyle w:val="FigureChar"/>
                <w:rFonts w:ascii="Times New Roman" w:hAnsi="Times New Roman"/>
                <w:b w:val="0"/>
                <w:sz w:val="20"/>
              </w:rPr>
            </w:pPr>
          </w:p>
        </w:tc>
        <w:tc>
          <w:tcPr>
            <w:tcW w:w="144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rStyle w:val="FigureChar"/>
                <w:rFonts w:ascii="Times New Roman" w:hAnsi="Times New Roman"/>
                <w:b w:val="0"/>
                <w:sz w:val="20"/>
              </w:rPr>
            </w:pPr>
          </w:p>
        </w:tc>
        <w:tc>
          <w:tcPr>
            <w:tcW w:w="93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rStyle w:val="FigureChar"/>
                <w:rFonts w:ascii="Times New Roman" w:hAnsi="Times New Roman"/>
                <w:b w:val="0"/>
                <w:sz w:val="20"/>
              </w:rPr>
            </w:pPr>
          </w:p>
        </w:tc>
        <w:tc>
          <w:tcPr>
            <w:tcW w:w="127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rStyle w:val="FigureChar"/>
                <w:rFonts w:ascii="Times New Roman" w:hAnsi="Times New Roman"/>
                <w:b w:val="0"/>
                <w:sz w:val="20"/>
              </w:rPr>
            </w:pPr>
          </w:p>
        </w:tc>
        <w:tc>
          <w:tcPr>
            <w:tcW w:w="114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rStyle w:val="FigureChar"/>
                <w:rFonts w:ascii="Times New Roman" w:hAnsi="Times New Roman"/>
                <w:b w:val="0"/>
                <w:sz w:val="20"/>
              </w:rPr>
            </w:pPr>
          </w:p>
        </w:tc>
        <w:tc>
          <w:tcPr>
            <w:tcW w:w="82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rStyle w:val="FigureChar"/>
                <w:rFonts w:ascii="Times New Roman" w:hAnsi="Times New Roman"/>
                <w:b w:val="0"/>
                <w:sz w:val="20"/>
              </w:rPr>
            </w:pPr>
          </w:p>
        </w:tc>
      </w:tr>
      <w:tr w:rsidR="00042617" w:rsidRPr="00D15774" w:rsidTr="000842CB">
        <w:trPr>
          <w:trHeight w:val="144"/>
          <w:jc w:val="center"/>
        </w:trPr>
        <w:tc>
          <w:tcPr>
            <w:tcW w:w="2460"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rStyle w:val="FigureChar"/>
                <w:rFonts w:ascii="Times New Roman" w:hAnsi="Times New Roman"/>
                <w:b w:val="0"/>
                <w:sz w:val="20"/>
              </w:rPr>
            </w:pPr>
            <w:r w:rsidRPr="00D15774">
              <w:rPr>
                <w:rStyle w:val="FigureChar"/>
                <w:rFonts w:ascii="Times New Roman" w:hAnsi="Times New Roman"/>
                <w:b w:val="0"/>
                <w:sz w:val="20"/>
              </w:rPr>
              <w:t xml:space="preserve">Total Tribal </w:t>
            </w:r>
          </w:p>
        </w:tc>
        <w:tc>
          <w:tcPr>
            <w:tcW w:w="127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rStyle w:val="FigureChar"/>
                <w:rFonts w:ascii="Times New Roman" w:hAnsi="Times New Roman"/>
                <w:b w:val="0"/>
                <w:sz w:val="20"/>
              </w:rPr>
            </w:pPr>
            <w:r w:rsidRPr="00D15774">
              <w:rPr>
                <w:rStyle w:val="FigureChar"/>
                <w:rFonts w:ascii="Times New Roman" w:hAnsi="Times New Roman"/>
                <w:b w:val="0"/>
                <w:sz w:val="20"/>
              </w:rPr>
              <w:t>0</w:t>
            </w:r>
          </w:p>
        </w:tc>
        <w:tc>
          <w:tcPr>
            <w:tcW w:w="715"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rStyle w:val="FigureChar"/>
                <w:rFonts w:ascii="Times New Roman" w:hAnsi="Times New Roman"/>
                <w:b w:val="0"/>
                <w:sz w:val="20"/>
              </w:rPr>
            </w:pPr>
            <w:r w:rsidRPr="00D15774">
              <w:rPr>
                <w:rStyle w:val="FigureChar"/>
                <w:rFonts w:ascii="Times New Roman" w:hAnsi="Times New Roman"/>
                <w:b w:val="0"/>
                <w:sz w:val="20"/>
              </w:rPr>
              <w:t>2</w:t>
            </w:r>
          </w:p>
        </w:tc>
        <w:tc>
          <w:tcPr>
            <w:tcW w:w="87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rStyle w:val="FigureChar"/>
                <w:rFonts w:ascii="Times New Roman" w:hAnsi="Times New Roman"/>
                <w:b w:val="0"/>
                <w:sz w:val="20"/>
              </w:rPr>
            </w:pPr>
            <w:r w:rsidRPr="00D15774">
              <w:rPr>
                <w:rStyle w:val="FigureChar"/>
                <w:rFonts w:ascii="Times New Roman" w:hAnsi="Times New Roman"/>
                <w:b w:val="0"/>
                <w:sz w:val="20"/>
              </w:rPr>
              <w:t>1</w:t>
            </w:r>
          </w:p>
        </w:tc>
        <w:tc>
          <w:tcPr>
            <w:tcW w:w="144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rStyle w:val="FigureChar"/>
                <w:rFonts w:ascii="Times New Roman" w:hAnsi="Times New Roman"/>
                <w:b w:val="0"/>
                <w:sz w:val="20"/>
              </w:rPr>
            </w:pPr>
            <w:r w:rsidRPr="00D15774">
              <w:rPr>
                <w:rStyle w:val="FigureChar"/>
                <w:rFonts w:ascii="Times New Roman" w:hAnsi="Times New Roman"/>
                <w:b w:val="0"/>
                <w:sz w:val="20"/>
              </w:rPr>
              <w:t>7</w:t>
            </w:r>
          </w:p>
        </w:tc>
        <w:tc>
          <w:tcPr>
            <w:tcW w:w="93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rStyle w:val="FigureChar"/>
                <w:rFonts w:ascii="Times New Roman" w:hAnsi="Times New Roman"/>
                <w:b w:val="0"/>
                <w:sz w:val="20"/>
              </w:rPr>
            </w:pPr>
            <w:r w:rsidRPr="00D15774">
              <w:rPr>
                <w:rStyle w:val="FigureChar"/>
                <w:rFonts w:ascii="Times New Roman" w:hAnsi="Times New Roman"/>
                <w:b w:val="0"/>
                <w:sz w:val="20"/>
              </w:rPr>
              <w:t>2</w:t>
            </w:r>
          </w:p>
        </w:tc>
        <w:tc>
          <w:tcPr>
            <w:tcW w:w="127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rStyle w:val="FigureChar"/>
                <w:rFonts w:ascii="Times New Roman" w:hAnsi="Times New Roman"/>
                <w:b w:val="0"/>
                <w:sz w:val="20"/>
              </w:rPr>
            </w:pPr>
            <w:r w:rsidRPr="00D15774">
              <w:rPr>
                <w:rStyle w:val="FigureChar"/>
                <w:rFonts w:ascii="Times New Roman" w:hAnsi="Times New Roman"/>
                <w:b w:val="0"/>
                <w:sz w:val="20"/>
              </w:rPr>
              <w:t>0</w:t>
            </w:r>
          </w:p>
        </w:tc>
        <w:tc>
          <w:tcPr>
            <w:tcW w:w="114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right"/>
              <w:rPr>
                <w:rStyle w:val="FigureChar"/>
                <w:rFonts w:ascii="Times New Roman" w:hAnsi="Times New Roman"/>
                <w:b w:val="0"/>
                <w:sz w:val="20"/>
              </w:rPr>
            </w:pPr>
            <w:r w:rsidRPr="00D15774">
              <w:rPr>
                <w:rStyle w:val="FigureChar"/>
                <w:rFonts w:ascii="Times New Roman" w:hAnsi="Times New Roman"/>
                <w:b w:val="0"/>
                <w:sz w:val="20"/>
              </w:rPr>
              <w:t>158</w:t>
            </w:r>
          </w:p>
        </w:tc>
        <w:tc>
          <w:tcPr>
            <w:tcW w:w="828"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20"/>
              </w:rPr>
            </w:pPr>
            <w:r w:rsidRPr="00D15774">
              <w:rPr>
                <w:rStyle w:val="FigureChar"/>
                <w:rFonts w:ascii="Times New Roman" w:hAnsi="Times New Roman"/>
                <w:b w:val="0"/>
                <w:sz w:val="20"/>
              </w:rPr>
              <w:t>169</w:t>
            </w:r>
          </w:p>
        </w:tc>
      </w:tr>
      <w:tr w:rsidR="00042617" w:rsidRPr="00D15774" w:rsidTr="000842CB">
        <w:trPr>
          <w:trHeight w:val="144"/>
          <w:jc w:val="center"/>
        </w:trPr>
        <w:tc>
          <w:tcPr>
            <w:tcW w:w="2460"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FigureChar"/>
                <w:rFonts w:ascii="Times New Roman" w:hAnsi="Times New Roman"/>
                <w:b w:val="0"/>
                <w:sz w:val="20"/>
              </w:rPr>
            </w:pPr>
            <w:r w:rsidRPr="00D15774">
              <w:rPr>
                <w:rStyle w:val="FigureChar"/>
                <w:rFonts w:ascii="Times New Roman" w:hAnsi="Times New Roman"/>
                <w:b w:val="0"/>
                <w:sz w:val="20"/>
              </w:rPr>
              <w:t>Total Nontribal</w:t>
            </w:r>
          </w:p>
        </w:tc>
        <w:tc>
          <w:tcPr>
            <w:tcW w:w="127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Style w:val="FigureChar"/>
                <w:rFonts w:ascii="Times New Roman" w:hAnsi="Times New Roman"/>
                <w:b w:val="0"/>
                <w:sz w:val="20"/>
              </w:rPr>
            </w:pPr>
            <w:r w:rsidRPr="00D15774">
              <w:rPr>
                <w:rStyle w:val="FigureChar"/>
                <w:rFonts w:ascii="Times New Roman" w:hAnsi="Times New Roman"/>
                <w:b w:val="0"/>
                <w:sz w:val="20"/>
              </w:rPr>
              <w:t>9,320</w:t>
            </w:r>
          </w:p>
        </w:tc>
        <w:tc>
          <w:tcPr>
            <w:tcW w:w="715"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Style w:val="FigureChar"/>
                <w:rFonts w:ascii="Times New Roman" w:hAnsi="Times New Roman"/>
                <w:b w:val="0"/>
                <w:sz w:val="20"/>
              </w:rPr>
            </w:pPr>
            <w:r w:rsidRPr="00D15774">
              <w:rPr>
                <w:rStyle w:val="FigureChar"/>
                <w:rFonts w:ascii="Times New Roman" w:hAnsi="Times New Roman"/>
                <w:b w:val="0"/>
                <w:sz w:val="20"/>
              </w:rPr>
              <w:t>5,794</w:t>
            </w:r>
          </w:p>
        </w:tc>
        <w:tc>
          <w:tcPr>
            <w:tcW w:w="87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Style w:val="FigureChar"/>
                <w:rFonts w:ascii="Times New Roman" w:hAnsi="Times New Roman"/>
                <w:b w:val="0"/>
                <w:sz w:val="20"/>
              </w:rPr>
            </w:pPr>
            <w:r w:rsidRPr="00D15774">
              <w:rPr>
                <w:rStyle w:val="FigureChar"/>
                <w:rFonts w:ascii="Times New Roman" w:hAnsi="Times New Roman"/>
                <w:b w:val="0"/>
                <w:sz w:val="20"/>
              </w:rPr>
              <w:t>350</w:t>
            </w:r>
          </w:p>
        </w:tc>
        <w:tc>
          <w:tcPr>
            <w:tcW w:w="144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Style w:val="FigureChar"/>
                <w:rFonts w:ascii="Times New Roman" w:hAnsi="Times New Roman"/>
                <w:b w:val="0"/>
                <w:sz w:val="20"/>
              </w:rPr>
            </w:pPr>
            <w:r w:rsidRPr="00D15774">
              <w:rPr>
                <w:rStyle w:val="FigureChar"/>
                <w:rFonts w:ascii="Times New Roman" w:hAnsi="Times New Roman"/>
                <w:b w:val="0"/>
                <w:sz w:val="20"/>
              </w:rPr>
              <w:t>4,129</w:t>
            </w:r>
          </w:p>
        </w:tc>
        <w:tc>
          <w:tcPr>
            <w:tcW w:w="93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Style w:val="FigureChar"/>
                <w:rFonts w:ascii="Times New Roman" w:hAnsi="Times New Roman"/>
                <w:b w:val="0"/>
                <w:sz w:val="20"/>
              </w:rPr>
            </w:pPr>
            <w:r w:rsidRPr="00D15774">
              <w:rPr>
                <w:rStyle w:val="FigureChar"/>
                <w:rFonts w:ascii="Times New Roman" w:hAnsi="Times New Roman"/>
                <w:b w:val="0"/>
                <w:sz w:val="20"/>
              </w:rPr>
              <w:t>467</w:t>
            </w:r>
          </w:p>
        </w:tc>
        <w:tc>
          <w:tcPr>
            <w:tcW w:w="127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Style w:val="FigureChar"/>
                <w:rFonts w:ascii="Times New Roman" w:hAnsi="Times New Roman"/>
                <w:b w:val="0"/>
                <w:sz w:val="20"/>
              </w:rPr>
            </w:pPr>
            <w:r w:rsidRPr="00D15774">
              <w:rPr>
                <w:rStyle w:val="FigureChar"/>
                <w:rFonts w:ascii="Times New Roman" w:hAnsi="Times New Roman"/>
                <w:b w:val="0"/>
                <w:sz w:val="20"/>
              </w:rPr>
              <w:t>20</w:t>
            </w:r>
          </w:p>
        </w:tc>
        <w:tc>
          <w:tcPr>
            <w:tcW w:w="1146"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Style w:val="FigureChar"/>
                <w:rFonts w:ascii="Times New Roman" w:hAnsi="Times New Roman"/>
                <w:b w:val="0"/>
                <w:sz w:val="20"/>
              </w:rPr>
            </w:pPr>
            <w:r w:rsidRPr="00D15774">
              <w:rPr>
                <w:rStyle w:val="FigureChar"/>
                <w:rFonts w:ascii="Times New Roman" w:hAnsi="Times New Roman"/>
                <w:b w:val="0"/>
                <w:sz w:val="20"/>
              </w:rPr>
              <w:t>837</w:t>
            </w:r>
          </w:p>
        </w:tc>
        <w:tc>
          <w:tcPr>
            <w:tcW w:w="828" w:type="dxa"/>
            <w:tcBorders>
              <w:top w:val="single" w:sz="10" w:space="0" w:color="000000"/>
              <w:left w:val="single" w:sz="10" w:space="0" w:color="000000"/>
              <w:bottom w:val="single" w:sz="10" w:space="0" w:color="000000"/>
              <w:right w:val="single" w:sz="10" w:space="0" w:color="000000"/>
            </w:tcBorders>
            <w:tcMar>
              <w:top w:w="72" w:type="dxa"/>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20"/>
              </w:rPr>
            </w:pPr>
            <w:r w:rsidRPr="00D15774">
              <w:rPr>
                <w:rStyle w:val="FigureChar"/>
                <w:rFonts w:ascii="Times New Roman" w:hAnsi="Times New Roman"/>
                <w:b w:val="0"/>
                <w:sz w:val="20"/>
              </w:rPr>
              <w:t>20,917</w:t>
            </w:r>
          </w:p>
        </w:tc>
      </w:tr>
    </w:tbl>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Style w:val="FigureChar"/>
          <w:rFonts w:ascii="Times New Roman" w:hAnsi="Times New Roman"/>
          <w:b w:val="0"/>
          <w:sz w:val="24"/>
        </w:rPr>
      </w:pP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pPr>
      <w:r w:rsidRPr="00D15774">
        <w:rPr>
          <w:rStyle w:val="FigureChar"/>
          <w:rFonts w:ascii="Times New Roman" w:hAnsi="Times New Roman"/>
          <w:b w:val="0"/>
          <w:sz w:val="24"/>
        </w:rPr>
        <w:t xml:space="preserve">Gas fired engines (compressors [44%] and other miscellaneous engines [20%]) are the largest category of NOx emissions in the Powder River Basin, making up 64% of the total.  The next largest source is 27% from drill rigs.  </w:t>
      </w:r>
      <w:r w:rsidR="003A59CC" w:rsidRPr="00D15774">
        <w:t>NOx is not covered by the new federal NSPS Subpart OOOO, therefore these emission rates should not be affected by that action.</w:t>
      </w:r>
    </w:p>
    <w:p w:rsidR="003A59CC" w:rsidRPr="00D15774" w:rsidRDefault="003A59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Style w:val="FigureChar"/>
          <w:rFonts w:ascii="Times New Roman" w:hAnsi="Times New Roman"/>
          <w:b w:val="0"/>
          <w:sz w:val="24"/>
        </w:rPr>
      </w:pPr>
    </w:p>
    <w:p w:rsidR="00042617" w:rsidRPr="00D15774" w:rsidRDefault="009857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pPr>
      <w:r w:rsidRPr="00D15774">
        <w:rPr>
          <w:rStyle w:val="FigureChar"/>
          <w:rFonts w:ascii="Times New Roman" w:hAnsi="Times New Roman"/>
          <w:b w:val="0"/>
          <w:sz w:val="24"/>
        </w:rPr>
        <w:t>T</w:t>
      </w:r>
      <w:r w:rsidR="00042617" w:rsidRPr="00D15774">
        <w:rPr>
          <w:rStyle w:val="FigureChar"/>
          <w:rFonts w:ascii="Times New Roman" w:hAnsi="Times New Roman"/>
          <w:b w:val="0"/>
          <w:sz w:val="24"/>
        </w:rPr>
        <w:t xml:space="preserve">here is a very small portion of Powder River Basin NOx </w:t>
      </w:r>
      <w:r w:rsidRPr="00D15774">
        <w:rPr>
          <w:rStyle w:val="FigureChar"/>
          <w:rFonts w:ascii="Times New Roman" w:hAnsi="Times New Roman"/>
          <w:b w:val="0"/>
          <w:sz w:val="24"/>
        </w:rPr>
        <w:t xml:space="preserve">sources </w:t>
      </w:r>
      <w:r w:rsidR="00042617" w:rsidRPr="00D15774">
        <w:rPr>
          <w:rStyle w:val="FigureChar"/>
          <w:rFonts w:ascii="Times New Roman" w:hAnsi="Times New Roman"/>
          <w:b w:val="0"/>
          <w:sz w:val="24"/>
        </w:rPr>
        <w:t>located on Indian lands</w:t>
      </w:r>
      <w:r w:rsidRPr="00D15774">
        <w:rPr>
          <w:rStyle w:val="FigureChar"/>
          <w:rFonts w:ascii="Times New Roman" w:hAnsi="Times New Roman"/>
          <w:b w:val="0"/>
          <w:sz w:val="24"/>
        </w:rPr>
        <w:t xml:space="preserve">.  </w:t>
      </w:r>
      <w:r w:rsidR="003A59CC" w:rsidRPr="00D15774">
        <w:rPr>
          <w:rStyle w:val="FigureChar"/>
          <w:rFonts w:ascii="Times New Roman" w:hAnsi="Times New Roman"/>
          <w:b w:val="0"/>
          <w:sz w:val="24"/>
        </w:rPr>
        <w:t>R</w:t>
      </w:r>
      <w:r w:rsidR="003A59CC" w:rsidRPr="00D15774">
        <w:t xml:space="preserve">egarding the “Permitting of Minor Sources on Indian Lands” regulation, although new sources will have lower emissions from previously unpermitted small sources like field compressors, artificial lift engines and heaters than previously projected due to federal permitting review, there will also be a number of existing sources that were never reported in the past.  These newly captured sources will now be included in emission inventories due to federal reporting requirements.  </w:t>
      </w:r>
      <w:r w:rsidR="00042617" w:rsidRPr="00D15774">
        <w:rPr>
          <w:rStyle w:val="FigureChar"/>
          <w:rFonts w:ascii="Times New Roman" w:hAnsi="Times New Roman"/>
          <w:b w:val="0"/>
          <w:sz w:val="24"/>
        </w:rPr>
        <w:t xml:space="preserve">Thus we may </w:t>
      </w:r>
      <w:r w:rsidR="00943861" w:rsidRPr="00D15774">
        <w:rPr>
          <w:rStyle w:val="FigureChar"/>
          <w:rFonts w:ascii="Times New Roman" w:hAnsi="Times New Roman"/>
          <w:b w:val="0"/>
          <w:sz w:val="24"/>
        </w:rPr>
        <w:t xml:space="preserve">actually </w:t>
      </w:r>
      <w:r w:rsidR="00042617" w:rsidRPr="00D15774">
        <w:rPr>
          <w:rStyle w:val="FigureChar"/>
          <w:rFonts w:ascii="Times New Roman" w:hAnsi="Times New Roman"/>
          <w:b w:val="0"/>
          <w:sz w:val="24"/>
        </w:rPr>
        <w:t xml:space="preserve">see some increased </w:t>
      </w:r>
      <w:r w:rsidR="00943861" w:rsidRPr="00D15774">
        <w:rPr>
          <w:rStyle w:val="FigureChar"/>
          <w:rFonts w:ascii="Times New Roman" w:hAnsi="Times New Roman"/>
          <w:b w:val="0"/>
          <w:sz w:val="24"/>
        </w:rPr>
        <w:t xml:space="preserve">NOx </w:t>
      </w:r>
      <w:r w:rsidR="00042617" w:rsidRPr="00D15774">
        <w:rPr>
          <w:rStyle w:val="FigureChar"/>
          <w:rFonts w:ascii="Times New Roman" w:hAnsi="Times New Roman"/>
          <w:b w:val="0"/>
          <w:sz w:val="24"/>
        </w:rPr>
        <w:t xml:space="preserve">emissions show up </w:t>
      </w:r>
      <w:r w:rsidRPr="00D15774">
        <w:rPr>
          <w:rStyle w:val="FigureChar"/>
          <w:rFonts w:ascii="Times New Roman" w:hAnsi="Times New Roman"/>
          <w:b w:val="0"/>
          <w:sz w:val="24"/>
        </w:rPr>
        <w:t>in future emission inventories</w:t>
      </w:r>
      <w:r w:rsidRPr="00D15774">
        <w:t xml:space="preserve"> </w:t>
      </w:r>
      <w:r w:rsidRPr="00D15774">
        <w:rPr>
          <w:rStyle w:val="FigureChar"/>
          <w:rFonts w:ascii="Times New Roman" w:hAnsi="Times New Roman"/>
          <w:b w:val="0"/>
          <w:sz w:val="24"/>
        </w:rPr>
        <w:t>for</w:t>
      </w:r>
      <w:r w:rsidR="00042617" w:rsidRPr="00D15774">
        <w:rPr>
          <w:rStyle w:val="FigureChar"/>
          <w:rFonts w:ascii="Times New Roman" w:hAnsi="Times New Roman"/>
          <w:b w:val="0"/>
          <w:sz w:val="24"/>
        </w:rPr>
        <w:t xml:space="preserve"> </w:t>
      </w:r>
      <w:r w:rsidR="00765567" w:rsidRPr="00D15774">
        <w:rPr>
          <w:rStyle w:val="FigureChar"/>
          <w:rFonts w:ascii="Times New Roman" w:hAnsi="Times New Roman"/>
          <w:b w:val="0"/>
          <w:sz w:val="24"/>
        </w:rPr>
        <w:t>Tribal Lands</w:t>
      </w:r>
      <w:r w:rsidR="00042617" w:rsidRPr="00D15774">
        <w:rPr>
          <w:rStyle w:val="FigureChar"/>
          <w:rFonts w:ascii="Times New Roman" w:hAnsi="Times New Roman"/>
          <w:b w:val="0"/>
          <w:sz w:val="24"/>
        </w:rPr>
        <w:t xml:space="preserve"> in </w:t>
      </w:r>
      <w:r w:rsidR="00943861" w:rsidRPr="00D15774">
        <w:rPr>
          <w:rStyle w:val="FigureChar"/>
          <w:rFonts w:ascii="Times New Roman" w:hAnsi="Times New Roman"/>
          <w:b w:val="0"/>
          <w:sz w:val="24"/>
        </w:rPr>
        <w:t xml:space="preserve">the Powder River Basin </w:t>
      </w:r>
      <w:r w:rsidR="006F7CB5" w:rsidRPr="00D15774">
        <w:t>due to this permitting regulation.</w:t>
      </w:r>
    </w:p>
    <w:p w:rsidR="003A59CC" w:rsidRPr="00D15774" w:rsidRDefault="003A59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pPr>
    </w:p>
    <w:p w:rsidR="003A59CC" w:rsidRPr="00D15774" w:rsidRDefault="003A59CC" w:rsidP="003A59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Style w:val="FigureChar"/>
          <w:rFonts w:ascii="Times New Roman" w:hAnsi="Times New Roman"/>
          <w:b w:val="0"/>
          <w:sz w:val="24"/>
        </w:rPr>
      </w:pPr>
      <w:r w:rsidRPr="00D15774">
        <w:rPr>
          <w:szCs w:val="24"/>
          <w:lang w:val="en-CA"/>
        </w:rPr>
        <w:t>Regarding the 27% of NOx from Nonroad Mobile drill rig engines, the federal</w:t>
      </w:r>
      <w:r w:rsidRPr="00D15774">
        <w:rPr>
          <w:color w:val="000000"/>
          <w:szCs w:val="24"/>
        </w:rPr>
        <w:t xml:space="preserve"> Tier Standards take precedence and should be already accounted for in this inventory.</w:t>
      </w: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Style w:val="FigureChar"/>
          <w:rFonts w:ascii="Times New Roman" w:hAnsi="Times New Roman"/>
          <w:b w:val="0"/>
          <w:sz w:val="24"/>
        </w:rPr>
      </w:pPr>
    </w:p>
    <w:p w:rsidR="001D0BB0" w:rsidRPr="00D15774" w:rsidRDefault="00042617" w:rsidP="000842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Style w:val="FigureChar"/>
          <w:rFonts w:ascii="Times New Roman" w:hAnsi="Times New Roman"/>
          <w:b w:val="0"/>
          <w:sz w:val="24"/>
        </w:rPr>
      </w:pPr>
      <w:r w:rsidRPr="00D15774">
        <w:rPr>
          <w:rStyle w:val="FigureChar"/>
          <w:rFonts w:ascii="Times New Roman" w:hAnsi="Times New Roman"/>
          <w:b w:val="0"/>
          <w:sz w:val="24"/>
        </w:rPr>
        <w:t>Table 1</w:t>
      </w:r>
      <w:r w:rsidR="00761A2D" w:rsidRPr="00D15774">
        <w:rPr>
          <w:rStyle w:val="FigureChar"/>
          <w:rFonts w:ascii="Times New Roman" w:hAnsi="Times New Roman"/>
          <w:b w:val="0"/>
          <w:sz w:val="24"/>
        </w:rPr>
        <w:t>8</w:t>
      </w:r>
      <w:r w:rsidRPr="00D15774">
        <w:rPr>
          <w:rStyle w:val="FigureChar"/>
          <w:rFonts w:ascii="Times New Roman" w:hAnsi="Times New Roman"/>
          <w:b w:val="0"/>
          <w:sz w:val="24"/>
        </w:rPr>
        <w:t xml:space="preserve"> contains a listing of the Powder River Basin VOC emissions from </w:t>
      </w:r>
      <w:r w:rsidR="0099797E" w:rsidRPr="00D15774">
        <w:rPr>
          <w:rStyle w:val="FigureChar"/>
          <w:rFonts w:ascii="Times New Roman" w:hAnsi="Times New Roman"/>
          <w:b w:val="0"/>
          <w:sz w:val="24"/>
        </w:rPr>
        <w:t>ENVIRON</w:t>
      </w:r>
      <w:r w:rsidRPr="00D15774">
        <w:rPr>
          <w:rStyle w:val="FigureChar"/>
          <w:rFonts w:ascii="Times New Roman" w:hAnsi="Times New Roman"/>
          <w:b w:val="0"/>
          <w:sz w:val="24"/>
        </w:rPr>
        <w:t>’s above cited June 10, 2011 Technical Memo.</w:t>
      </w:r>
    </w:p>
    <w:p w:rsidR="000842CB" w:rsidRPr="00D15774" w:rsidRDefault="000842CB" w:rsidP="000842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Style w:val="FigureChar"/>
          <w:rFonts w:ascii="Times New Roman" w:hAnsi="Times New Roman"/>
          <w:b w:val="0"/>
          <w:sz w:val="24"/>
        </w:rPr>
      </w:pPr>
    </w:p>
    <w:p w:rsidR="00042617" w:rsidRPr="00C47C14" w:rsidRDefault="00A04C7D" w:rsidP="00C47C14">
      <w:pPr>
        <w:pStyle w:val="Heading4"/>
        <w:jc w:val="center"/>
        <w:rPr>
          <w:rStyle w:val="FigureChar"/>
          <w:rFonts w:ascii="Times New Roman" w:hAnsi="Times New Roman" w:cs="Times New Roman"/>
          <w:b/>
          <w:i w:val="0"/>
          <w:color w:val="auto"/>
          <w:sz w:val="24"/>
        </w:rPr>
      </w:pPr>
      <w:bookmarkStart w:id="120" w:name="_Toc369087040"/>
      <w:r w:rsidRPr="00C47C14">
        <w:rPr>
          <w:rStyle w:val="FigureChar"/>
          <w:rFonts w:ascii="Times New Roman" w:hAnsi="Times New Roman" w:cs="Times New Roman"/>
          <w:b/>
          <w:i w:val="0"/>
          <w:color w:val="auto"/>
          <w:sz w:val="24"/>
        </w:rPr>
        <w:lastRenderedPageBreak/>
        <w:t>Table 1</w:t>
      </w:r>
      <w:r w:rsidR="00761A2D" w:rsidRPr="00C47C14">
        <w:rPr>
          <w:rStyle w:val="FigureChar"/>
          <w:rFonts w:ascii="Times New Roman" w:hAnsi="Times New Roman" w:cs="Times New Roman"/>
          <w:b/>
          <w:i w:val="0"/>
          <w:color w:val="auto"/>
          <w:sz w:val="24"/>
        </w:rPr>
        <w:t>8</w:t>
      </w:r>
      <w:r w:rsidR="00042617" w:rsidRPr="00C47C14">
        <w:rPr>
          <w:rStyle w:val="FigureChar"/>
          <w:rFonts w:ascii="Times New Roman" w:hAnsi="Times New Roman" w:cs="Times New Roman"/>
          <w:b/>
          <w:i w:val="0"/>
          <w:color w:val="auto"/>
          <w:sz w:val="24"/>
        </w:rPr>
        <w:t>: Powder River Basin 2006 VOC Emission Sources (</w:t>
      </w:r>
      <w:r w:rsidR="0059687A" w:rsidRPr="00C47C14">
        <w:rPr>
          <w:rStyle w:val="FigureChar"/>
          <w:rFonts w:ascii="Times New Roman" w:hAnsi="Times New Roman" w:cs="Times New Roman"/>
          <w:b/>
          <w:i w:val="0"/>
          <w:color w:val="auto"/>
          <w:sz w:val="24"/>
        </w:rPr>
        <w:t>tpy</w:t>
      </w:r>
      <w:r w:rsidR="00042617" w:rsidRPr="00C47C14">
        <w:rPr>
          <w:rStyle w:val="FigureChar"/>
          <w:rFonts w:ascii="Times New Roman" w:hAnsi="Times New Roman" w:cs="Times New Roman"/>
          <w:b/>
          <w:i w:val="0"/>
          <w:color w:val="auto"/>
          <w:sz w:val="24"/>
        </w:rPr>
        <w:t>)</w:t>
      </w:r>
      <w:bookmarkEnd w:id="120"/>
      <w:r w:rsidR="00E21C92" w:rsidRPr="00C47C14">
        <w:rPr>
          <w:rFonts w:ascii="Times New Roman" w:hAnsi="Times New Roman" w:cs="Times New Roman"/>
          <w:i w:val="0"/>
          <w:color w:val="auto"/>
          <w:highlight w:val="yellow"/>
        </w:rPr>
        <w:fldChar w:fldCharType="begin"/>
      </w:r>
      <w:r w:rsidR="00042617" w:rsidRPr="00C47C14">
        <w:rPr>
          <w:rStyle w:val="FigureChar"/>
          <w:rFonts w:ascii="Times New Roman" w:hAnsi="Times New Roman" w:cs="Times New Roman"/>
          <w:b/>
          <w:i w:val="0"/>
          <w:color w:val="auto"/>
          <w:sz w:val="24"/>
          <w:highlight w:val="yellow"/>
        </w:rPr>
        <w:instrText xml:space="preserve"> TC \l4 "</w:instrText>
      </w:r>
      <w:bookmarkStart w:id="121" w:name="_Toc363192364"/>
      <w:r w:rsidR="00042617" w:rsidRPr="00C47C14">
        <w:rPr>
          <w:rStyle w:val="FigureChar"/>
          <w:rFonts w:ascii="Times New Roman" w:hAnsi="Times New Roman" w:cs="Times New Roman"/>
          <w:b/>
          <w:i w:val="0"/>
          <w:color w:val="auto"/>
          <w:sz w:val="24"/>
          <w:highlight w:val="yellow"/>
        </w:rPr>
        <w:instrText>Table 16: Powder River Basin 2006 VOC Emission Sources (TPY)</w:instrText>
      </w:r>
      <w:bookmarkEnd w:id="121"/>
      <w:r w:rsidR="00E21C92" w:rsidRPr="00C47C14">
        <w:rPr>
          <w:rFonts w:ascii="Times New Roman" w:hAnsi="Times New Roman" w:cs="Times New Roman"/>
          <w:i w:val="0"/>
          <w:color w:val="auto"/>
          <w:highlight w:val="yellow"/>
        </w:rPr>
        <w:fldChar w:fldCharType="end"/>
      </w:r>
    </w:p>
    <w:tbl>
      <w:tblPr>
        <w:tblW w:w="11519" w:type="dxa"/>
        <w:jc w:val="center"/>
        <w:tblBorders>
          <w:top w:val="nil"/>
          <w:left w:val="nil"/>
          <w:bottom w:val="nil"/>
          <w:right w:val="nil"/>
          <w:insideH w:val="nil"/>
          <w:insideV w:val="nil"/>
        </w:tblBorders>
        <w:tblLayout w:type="fixed"/>
        <w:tblCellMar>
          <w:left w:w="35" w:type="dxa"/>
          <w:right w:w="35" w:type="dxa"/>
        </w:tblCellMar>
        <w:tblLook w:val="0000" w:firstRow="0" w:lastRow="0" w:firstColumn="0" w:lastColumn="0" w:noHBand="0" w:noVBand="0"/>
      </w:tblPr>
      <w:tblGrid>
        <w:gridCol w:w="685"/>
        <w:gridCol w:w="858"/>
        <w:gridCol w:w="608"/>
        <w:gridCol w:w="889"/>
        <w:gridCol w:w="983"/>
        <w:gridCol w:w="998"/>
        <w:gridCol w:w="671"/>
        <w:gridCol w:w="936"/>
        <w:gridCol w:w="796"/>
        <w:gridCol w:w="827"/>
        <w:gridCol w:w="577"/>
        <w:gridCol w:w="920"/>
        <w:gridCol w:w="811"/>
        <w:gridCol w:w="960"/>
      </w:tblGrid>
      <w:tr w:rsidR="00042617" w:rsidRPr="00D15774" w:rsidTr="006E2C18">
        <w:trPr>
          <w:trHeight w:val="918"/>
          <w:jc w:val="center"/>
        </w:trPr>
        <w:tc>
          <w:tcPr>
            <w:tcW w:w="685"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sz w:val="16"/>
              </w:rPr>
            </w:pPr>
          </w:p>
        </w:tc>
        <w:tc>
          <w:tcPr>
            <w:tcW w:w="858"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spacing w:val="-5"/>
                <w:sz w:val="16"/>
              </w:rPr>
            </w:pPr>
            <w:r w:rsidRPr="00D15774">
              <w:rPr>
                <w:rStyle w:val="FigureChar"/>
                <w:rFonts w:ascii="Times New Roman" w:hAnsi="Times New Roman"/>
                <w:spacing w:val="-5"/>
                <w:sz w:val="16"/>
              </w:rPr>
              <w:t>Compressor Engines</w:t>
            </w:r>
          </w:p>
        </w:tc>
        <w:tc>
          <w:tcPr>
            <w:tcW w:w="608"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spacing w:val="-5"/>
                <w:sz w:val="16"/>
              </w:rPr>
            </w:pPr>
            <w:r w:rsidRPr="00D15774">
              <w:rPr>
                <w:rStyle w:val="FigureChar"/>
                <w:rFonts w:ascii="Times New Roman" w:hAnsi="Times New Roman"/>
                <w:spacing w:val="-5"/>
                <w:sz w:val="16"/>
              </w:rPr>
              <w:t>Drilling Rigs</w:t>
            </w:r>
          </w:p>
        </w:tc>
        <w:tc>
          <w:tcPr>
            <w:tcW w:w="889"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sz w:val="16"/>
              </w:rPr>
            </w:pPr>
            <w:r w:rsidRPr="00D15774">
              <w:rPr>
                <w:rStyle w:val="FigureChar"/>
                <w:rFonts w:ascii="Times New Roman" w:hAnsi="Times New Roman"/>
                <w:sz w:val="16"/>
              </w:rPr>
              <w:t>Venting - Initial Completion</w:t>
            </w:r>
          </w:p>
        </w:tc>
        <w:tc>
          <w:tcPr>
            <w:tcW w:w="983"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sz w:val="16"/>
              </w:rPr>
            </w:pPr>
            <w:r w:rsidRPr="00D15774">
              <w:rPr>
                <w:rStyle w:val="FigureChar"/>
                <w:rFonts w:ascii="Times New Roman" w:hAnsi="Times New Roman"/>
                <w:sz w:val="16"/>
              </w:rPr>
              <w:t>Venting - Recompletion</w:t>
            </w:r>
          </w:p>
        </w:tc>
        <w:tc>
          <w:tcPr>
            <w:tcW w:w="998"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sz w:val="16"/>
              </w:rPr>
            </w:pPr>
            <w:r w:rsidRPr="00D15774">
              <w:rPr>
                <w:rStyle w:val="FigureChar"/>
                <w:rFonts w:ascii="Times New Roman" w:hAnsi="Times New Roman"/>
                <w:sz w:val="16"/>
              </w:rPr>
              <w:t>Unpermitted</w:t>
            </w:r>
          </w:p>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sz w:val="16"/>
              </w:rPr>
            </w:pPr>
            <w:r w:rsidRPr="00D15774">
              <w:rPr>
                <w:rStyle w:val="FigureChar"/>
                <w:rFonts w:ascii="Times New Roman" w:hAnsi="Times New Roman"/>
                <w:sz w:val="16"/>
              </w:rPr>
              <w:t>Fugitives</w:t>
            </w:r>
          </w:p>
        </w:tc>
        <w:tc>
          <w:tcPr>
            <w:tcW w:w="671"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sz w:val="16"/>
              </w:rPr>
            </w:pPr>
            <w:r w:rsidRPr="00D15774">
              <w:rPr>
                <w:rStyle w:val="FigureChar"/>
                <w:rFonts w:ascii="Times New Roman" w:hAnsi="Times New Roman"/>
                <w:sz w:val="16"/>
              </w:rPr>
              <w:t>Misc. Engines</w:t>
            </w:r>
          </w:p>
        </w:tc>
        <w:tc>
          <w:tcPr>
            <w:tcW w:w="936"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sz w:val="16"/>
              </w:rPr>
            </w:pPr>
            <w:r w:rsidRPr="00D15774">
              <w:rPr>
                <w:rStyle w:val="FigureChar"/>
                <w:rFonts w:ascii="Times New Roman" w:hAnsi="Times New Roman"/>
                <w:sz w:val="16"/>
              </w:rPr>
              <w:t>Dehydrator</w:t>
            </w:r>
          </w:p>
        </w:tc>
        <w:tc>
          <w:tcPr>
            <w:tcW w:w="796"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sz w:val="16"/>
              </w:rPr>
            </w:pPr>
            <w:r w:rsidRPr="00D15774">
              <w:rPr>
                <w:rStyle w:val="FigureChar"/>
                <w:rFonts w:ascii="Times New Roman" w:hAnsi="Times New Roman"/>
                <w:sz w:val="16"/>
              </w:rPr>
              <w:t>Oil Well Truck Loading</w:t>
            </w:r>
          </w:p>
        </w:tc>
        <w:tc>
          <w:tcPr>
            <w:tcW w:w="827"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sz w:val="16"/>
              </w:rPr>
            </w:pPr>
            <w:r w:rsidRPr="00D15774">
              <w:rPr>
                <w:rStyle w:val="FigureChar"/>
                <w:rFonts w:ascii="Times New Roman" w:hAnsi="Times New Roman"/>
                <w:sz w:val="16"/>
              </w:rPr>
              <w:t>Pneumatic Devices</w:t>
            </w:r>
          </w:p>
        </w:tc>
        <w:tc>
          <w:tcPr>
            <w:tcW w:w="577"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sz w:val="16"/>
              </w:rPr>
            </w:pPr>
            <w:r w:rsidRPr="00D15774">
              <w:rPr>
                <w:rStyle w:val="FigureChar"/>
                <w:rFonts w:ascii="Times New Roman" w:hAnsi="Times New Roman"/>
                <w:sz w:val="16"/>
              </w:rPr>
              <w:t>Oil Tanks</w:t>
            </w:r>
          </w:p>
        </w:tc>
        <w:tc>
          <w:tcPr>
            <w:tcW w:w="920"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sz w:val="16"/>
              </w:rPr>
            </w:pPr>
            <w:r w:rsidRPr="00D15774">
              <w:rPr>
                <w:rStyle w:val="FigureChar"/>
                <w:rFonts w:ascii="Times New Roman" w:hAnsi="Times New Roman"/>
                <w:sz w:val="16"/>
              </w:rPr>
              <w:t>Condensate</w:t>
            </w:r>
          </w:p>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sz w:val="16"/>
              </w:rPr>
            </w:pPr>
            <w:r w:rsidRPr="00D15774">
              <w:rPr>
                <w:rStyle w:val="FigureChar"/>
                <w:rFonts w:ascii="Times New Roman" w:hAnsi="Times New Roman"/>
                <w:sz w:val="16"/>
              </w:rPr>
              <w:t>Tanks</w:t>
            </w:r>
          </w:p>
        </w:tc>
        <w:tc>
          <w:tcPr>
            <w:tcW w:w="811"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042617" w:rsidRPr="00D15774" w:rsidRDefault="0004261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sz w:val="16"/>
              </w:rPr>
            </w:pPr>
            <w:r w:rsidRPr="00D15774">
              <w:rPr>
                <w:rStyle w:val="FigureChar"/>
                <w:rFonts w:ascii="Times New Roman" w:hAnsi="Times New Roman"/>
                <w:sz w:val="16"/>
              </w:rPr>
              <w:t>Other Categories</w:t>
            </w:r>
          </w:p>
        </w:tc>
        <w:tc>
          <w:tcPr>
            <w:tcW w:w="960" w:type="dxa"/>
            <w:tcBorders>
              <w:top w:val="single" w:sz="10" w:space="0" w:color="000000"/>
              <w:left w:val="single" w:sz="10" w:space="0" w:color="000000"/>
              <w:bottom w:val="single" w:sz="10" w:space="0" w:color="000000"/>
              <w:right w:val="single" w:sz="10" w:space="0" w:color="000000"/>
            </w:tcBorders>
            <w:shd w:val="pct10" w:color="000000" w:fill="auto"/>
            <w:tcMar>
              <w:left w:w="0" w:type="dxa"/>
              <w:bottom w:w="144" w:type="dxa"/>
              <w:right w:w="0" w:type="dxa"/>
            </w:tcMar>
            <w:vAlign w:val="bottom"/>
          </w:tcPr>
          <w:p w:rsidR="007F197C" w:rsidRPr="00D15774" w:rsidRDefault="007F197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sz w:val="16"/>
              </w:rPr>
            </w:pPr>
            <w:r w:rsidRPr="00D15774">
              <w:rPr>
                <w:rStyle w:val="FigureChar"/>
                <w:rFonts w:ascii="Times New Roman" w:hAnsi="Times New Roman"/>
                <w:sz w:val="16"/>
              </w:rPr>
              <w:t>Grand</w:t>
            </w:r>
          </w:p>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b w:val="0"/>
                <w:sz w:val="16"/>
              </w:rPr>
            </w:pPr>
            <w:r w:rsidRPr="00D15774">
              <w:rPr>
                <w:rStyle w:val="FigureChar"/>
                <w:rFonts w:ascii="Times New Roman" w:hAnsi="Times New Roman"/>
                <w:sz w:val="16"/>
              </w:rPr>
              <w:t>Totals</w:t>
            </w:r>
          </w:p>
        </w:tc>
      </w:tr>
      <w:tr w:rsidR="00042617" w:rsidRPr="00D15774" w:rsidTr="006E2C18">
        <w:trPr>
          <w:trHeight w:val="254"/>
          <w:jc w:val="center"/>
        </w:trPr>
        <w:tc>
          <w:tcPr>
            <w:tcW w:w="685" w:type="dxa"/>
            <w:tcBorders>
              <w:top w:val="single" w:sz="10" w:space="0" w:color="000000"/>
              <w:left w:val="single" w:sz="10" w:space="0" w:color="000000"/>
              <w:bottom w:val="single" w:sz="10" w:space="0" w:color="000000"/>
              <w:right w:val="single" w:sz="10" w:space="0" w:color="000000"/>
            </w:tcBorders>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b w:val="0"/>
                <w:sz w:val="16"/>
              </w:rPr>
            </w:pPr>
            <w:r w:rsidRPr="00D15774">
              <w:rPr>
                <w:rStyle w:val="FigureChar"/>
                <w:rFonts w:ascii="Times New Roman" w:hAnsi="Times New Roman"/>
                <w:b w:val="0"/>
                <w:sz w:val="16"/>
              </w:rPr>
              <w:t>Total Tons</w:t>
            </w:r>
          </w:p>
        </w:tc>
        <w:tc>
          <w:tcPr>
            <w:tcW w:w="858"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3,847</w:t>
            </w:r>
          </w:p>
        </w:tc>
        <w:tc>
          <w:tcPr>
            <w:tcW w:w="608"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241</w:t>
            </w:r>
          </w:p>
        </w:tc>
        <w:tc>
          <w:tcPr>
            <w:tcW w:w="889"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686</w:t>
            </w:r>
          </w:p>
        </w:tc>
        <w:tc>
          <w:tcPr>
            <w:tcW w:w="983"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6,510</w:t>
            </w:r>
          </w:p>
        </w:tc>
        <w:tc>
          <w:tcPr>
            <w:tcW w:w="998"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3,530</w:t>
            </w:r>
          </w:p>
        </w:tc>
        <w:tc>
          <w:tcPr>
            <w:tcW w:w="671"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502</w:t>
            </w:r>
          </w:p>
        </w:tc>
        <w:tc>
          <w:tcPr>
            <w:tcW w:w="936"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994</w:t>
            </w:r>
          </w:p>
        </w:tc>
        <w:tc>
          <w:tcPr>
            <w:tcW w:w="796"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863</w:t>
            </w:r>
          </w:p>
        </w:tc>
        <w:tc>
          <w:tcPr>
            <w:tcW w:w="827"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2,859</w:t>
            </w:r>
          </w:p>
        </w:tc>
        <w:tc>
          <w:tcPr>
            <w:tcW w:w="577"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412</w:t>
            </w:r>
          </w:p>
        </w:tc>
        <w:tc>
          <w:tcPr>
            <w:tcW w:w="920"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310</w:t>
            </w:r>
          </w:p>
        </w:tc>
        <w:tc>
          <w:tcPr>
            <w:tcW w:w="811"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802</w:t>
            </w:r>
          </w:p>
        </w:tc>
        <w:tc>
          <w:tcPr>
            <w:tcW w:w="960"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21,557</w:t>
            </w:r>
          </w:p>
        </w:tc>
      </w:tr>
      <w:tr w:rsidR="00042617" w:rsidRPr="00D15774" w:rsidTr="006E2C18">
        <w:trPr>
          <w:trHeight w:val="254"/>
          <w:jc w:val="center"/>
        </w:trPr>
        <w:tc>
          <w:tcPr>
            <w:tcW w:w="685" w:type="dxa"/>
            <w:tcBorders>
              <w:top w:val="single" w:sz="10" w:space="0" w:color="000000"/>
              <w:left w:val="single" w:sz="10" w:space="0" w:color="000000"/>
              <w:bottom w:val="single" w:sz="10" w:space="0" w:color="000000"/>
              <w:right w:val="single" w:sz="10" w:space="0" w:color="000000"/>
            </w:tcBorders>
            <w:tcMar>
              <w:left w:w="0" w:type="dxa"/>
              <w:bottom w:w="72"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b w:val="0"/>
                <w:sz w:val="16"/>
              </w:rPr>
            </w:pPr>
            <w:r w:rsidRPr="00D15774">
              <w:rPr>
                <w:rStyle w:val="FigureChar"/>
                <w:rFonts w:ascii="Times New Roman" w:hAnsi="Times New Roman"/>
                <w:b w:val="0"/>
                <w:sz w:val="16"/>
              </w:rPr>
              <w:t>Percent of Total</w:t>
            </w:r>
          </w:p>
        </w:tc>
        <w:tc>
          <w:tcPr>
            <w:tcW w:w="858"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18%</w:t>
            </w:r>
          </w:p>
        </w:tc>
        <w:tc>
          <w:tcPr>
            <w:tcW w:w="608"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1%</w:t>
            </w:r>
          </w:p>
        </w:tc>
        <w:tc>
          <w:tcPr>
            <w:tcW w:w="889"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3%</w:t>
            </w:r>
          </w:p>
        </w:tc>
        <w:tc>
          <w:tcPr>
            <w:tcW w:w="983"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30%</w:t>
            </w:r>
          </w:p>
        </w:tc>
        <w:tc>
          <w:tcPr>
            <w:tcW w:w="998"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16%</w:t>
            </w:r>
          </w:p>
        </w:tc>
        <w:tc>
          <w:tcPr>
            <w:tcW w:w="671"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2%</w:t>
            </w:r>
          </w:p>
        </w:tc>
        <w:tc>
          <w:tcPr>
            <w:tcW w:w="936"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5%</w:t>
            </w:r>
          </w:p>
        </w:tc>
        <w:tc>
          <w:tcPr>
            <w:tcW w:w="796"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4%</w:t>
            </w:r>
          </w:p>
        </w:tc>
        <w:tc>
          <w:tcPr>
            <w:tcW w:w="827"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13%</w:t>
            </w:r>
          </w:p>
        </w:tc>
        <w:tc>
          <w:tcPr>
            <w:tcW w:w="577"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2%</w:t>
            </w:r>
          </w:p>
        </w:tc>
        <w:tc>
          <w:tcPr>
            <w:tcW w:w="920"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1%</w:t>
            </w:r>
          </w:p>
        </w:tc>
        <w:tc>
          <w:tcPr>
            <w:tcW w:w="811"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4%</w:t>
            </w:r>
          </w:p>
        </w:tc>
        <w:tc>
          <w:tcPr>
            <w:tcW w:w="960" w:type="dxa"/>
            <w:tcBorders>
              <w:top w:val="single" w:sz="10" w:space="0" w:color="000000"/>
              <w:left w:val="single" w:sz="10" w:space="0" w:color="000000"/>
              <w:bottom w:val="single" w:sz="10" w:space="0" w:color="000000"/>
              <w:right w:val="single" w:sz="10" w:space="0" w:color="000000"/>
            </w:tcBorders>
            <w:tcMar>
              <w:left w:w="0" w:type="dxa"/>
              <w:bottom w:w="72"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100%</w:t>
            </w:r>
          </w:p>
        </w:tc>
      </w:tr>
      <w:tr w:rsidR="00042617" w:rsidRPr="00D15774" w:rsidTr="006E2C18">
        <w:trPr>
          <w:trHeight w:hRule="exact" w:val="144"/>
          <w:jc w:val="center"/>
        </w:trPr>
        <w:tc>
          <w:tcPr>
            <w:tcW w:w="685"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b w:val="0"/>
                <w:sz w:val="16"/>
              </w:rPr>
            </w:pPr>
          </w:p>
        </w:tc>
        <w:tc>
          <w:tcPr>
            <w:tcW w:w="85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60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89"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83"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9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67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3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79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2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57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2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1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6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r>
      <w:tr w:rsidR="00042617" w:rsidRPr="00D15774" w:rsidTr="006E2C18">
        <w:trPr>
          <w:trHeight w:val="254"/>
          <w:jc w:val="center"/>
        </w:trPr>
        <w:tc>
          <w:tcPr>
            <w:tcW w:w="685" w:type="dxa"/>
            <w:tcBorders>
              <w:top w:val="single" w:sz="10" w:space="0" w:color="000000"/>
              <w:left w:val="single" w:sz="10" w:space="0" w:color="000000"/>
              <w:bottom w:val="single" w:sz="10" w:space="0" w:color="000000"/>
              <w:right w:val="single" w:sz="10" w:space="0" w:color="000000"/>
            </w:tcBorders>
            <w:tcMar>
              <w:left w:w="0"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b w:val="0"/>
                <w:sz w:val="16"/>
              </w:rPr>
            </w:pPr>
            <w:r w:rsidRPr="00D15774">
              <w:rPr>
                <w:rStyle w:val="FigureChar"/>
                <w:rFonts w:ascii="Times New Roman" w:hAnsi="Times New Roman"/>
                <w:b w:val="0"/>
                <w:sz w:val="16"/>
              </w:rPr>
              <w:t>Total Tribal</w:t>
            </w:r>
          </w:p>
        </w:tc>
        <w:tc>
          <w:tcPr>
            <w:tcW w:w="858"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0</w:t>
            </w:r>
          </w:p>
        </w:tc>
        <w:tc>
          <w:tcPr>
            <w:tcW w:w="608"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0</w:t>
            </w:r>
          </w:p>
        </w:tc>
        <w:tc>
          <w:tcPr>
            <w:tcW w:w="889"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0</w:t>
            </w:r>
          </w:p>
        </w:tc>
        <w:tc>
          <w:tcPr>
            <w:tcW w:w="983"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0</w:t>
            </w:r>
          </w:p>
        </w:tc>
        <w:tc>
          <w:tcPr>
            <w:tcW w:w="998"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19</w:t>
            </w:r>
          </w:p>
        </w:tc>
        <w:tc>
          <w:tcPr>
            <w:tcW w:w="671"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1</w:t>
            </w:r>
          </w:p>
        </w:tc>
        <w:tc>
          <w:tcPr>
            <w:tcW w:w="936"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0</w:t>
            </w:r>
          </w:p>
        </w:tc>
        <w:tc>
          <w:tcPr>
            <w:tcW w:w="796"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3</w:t>
            </w:r>
          </w:p>
        </w:tc>
        <w:tc>
          <w:tcPr>
            <w:tcW w:w="827"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15</w:t>
            </w:r>
          </w:p>
        </w:tc>
        <w:tc>
          <w:tcPr>
            <w:tcW w:w="577"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2</w:t>
            </w:r>
          </w:p>
        </w:tc>
        <w:tc>
          <w:tcPr>
            <w:tcW w:w="920"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0</w:t>
            </w:r>
          </w:p>
        </w:tc>
        <w:tc>
          <w:tcPr>
            <w:tcW w:w="811"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6</w:t>
            </w:r>
          </w:p>
        </w:tc>
        <w:tc>
          <w:tcPr>
            <w:tcW w:w="960" w:type="dxa"/>
            <w:tcBorders>
              <w:top w:val="single" w:sz="10" w:space="0" w:color="000000"/>
              <w:left w:val="single" w:sz="10" w:space="0" w:color="000000"/>
              <w:bottom w:val="single" w:sz="10" w:space="0" w:color="000000"/>
              <w:right w:val="single" w:sz="10" w:space="0" w:color="000000"/>
            </w:tcBorders>
            <w:tcMar>
              <w:left w:w="0"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46</w:t>
            </w:r>
          </w:p>
        </w:tc>
      </w:tr>
      <w:tr w:rsidR="00042617" w:rsidRPr="00D15774" w:rsidTr="006E2C18">
        <w:trPr>
          <w:trHeight w:val="254"/>
          <w:jc w:val="center"/>
        </w:trPr>
        <w:tc>
          <w:tcPr>
            <w:tcW w:w="685" w:type="dxa"/>
            <w:tcBorders>
              <w:top w:val="single" w:sz="10" w:space="0" w:color="000000"/>
              <w:left w:val="single" w:sz="10" w:space="0" w:color="000000"/>
              <w:bottom w:val="single" w:sz="10" w:space="0" w:color="000000"/>
              <w:right w:val="single" w:sz="10" w:space="0" w:color="000000"/>
            </w:tcBorders>
            <w:tcMar>
              <w:left w:w="0" w:type="dxa"/>
              <w:bottom w:w="144" w:type="dxa"/>
              <w:right w:w="0"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b w:val="0"/>
                <w:sz w:val="16"/>
              </w:rPr>
            </w:pPr>
            <w:r w:rsidRPr="00D15774">
              <w:rPr>
                <w:rStyle w:val="FigureChar"/>
                <w:rFonts w:ascii="Times New Roman" w:hAnsi="Times New Roman"/>
                <w:b w:val="0"/>
                <w:sz w:val="16"/>
              </w:rPr>
              <w:t>Total Nontribal</w:t>
            </w:r>
          </w:p>
        </w:tc>
        <w:tc>
          <w:tcPr>
            <w:tcW w:w="858"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3,847</w:t>
            </w:r>
          </w:p>
        </w:tc>
        <w:tc>
          <w:tcPr>
            <w:tcW w:w="608"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241</w:t>
            </w:r>
          </w:p>
        </w:tc>
        <w:tc>
          <w:tcPr>
            <w:tcW w:w="889"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686</w:t>
            </w:r>
          </w:p>
        </w:tc>
        <w:tc>
          <w:tcPr>
            <w:tcW w:w="983"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6,510</w:t>
            </w:r>
          </w:p>
        </w:tc>
        <w:tc>
          <w:tcPr>
            <w:tcW w:w="998"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3,511</w:t>
            </w:r>
          </w:p>
        </w:tc>
        <w:tc>
          <w:tcPr>
            <w:tcW w:w="671"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501</w:t>
            </w:r>
          </w:p>
        </w:tc>
        <w:tc>
          <w:tcPr>
            <w:tcW w:w="936"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994</w:t>
            </w:r>
          </w:p>
        </w:tc>
        <w:tc>
          <w:tcPr>
            <w:tcW w:w="796"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860</w:t>
            </w:r>
          </w:p>
        </w:tc>
        <w:tc>
          <w:tcPr>
            <w:tcW w:w="827"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2,844</w:t>
            </w:r>
          </w:p>
        </w:tc>
        <w:tc>
          <w:tcPr>
            <w:tcW w:w="577"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410</w:t>
            </w:r>
          </w:p>
        </w:tc>
        <w:tc>
          <w:tcPr>
            <w:tcW w:w="920"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310</w:t>
            </w:r>
          </w:p>
        </w:tc>
        <w:tc>
          <w:tcPr>
            <w:tcW w:w="811"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796</w:t>
            </w:r>
          </w:p>
        </w:tc>
        <w:tc>
          <w:tcPr>
            <w:tcW w:w="960" w:type="dxa"/>
            <w:tcBorders>
              <w:top w:val="single" w:sz="10" w:space="0" w:color="000000"/>
              <w:left w:val="single" w:sz="10" w:space="0" w:color="000000"/>
              <w:bottom w:val="single" w:sz="10" w:space="0" w:color="000000"/>
              <w:right w:val="single" w:sz="10" w:space="0" w:color="000000"/>
            </w:tcBorders>
            <w:tcMar>
              <w:left w:w="0" w:type="dxa"/>
              <w:bottom w:w="144" w:type="dxa"/>
              <w:right w:w="144" w:type="dxa"/>
            </w:tcMar>
            <w:vAlign w:val="bottom"/>
          </w:tcPr>
          <w:p w:rsidR="00042617" w:rsidRPr="00D15774" w:rsidRDefault="0004261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r w:rsidRPr="00D15774">
              <w:rPr>
                <w:rStyle w:val="FigureChar"/>
                <w:rFonts w:ascii="Times New Roman" w:hAnsi="Times New Roman"/>
                <w:b w:val="0"/>
                <w:sz w:val="16"/>
              </w:rPr>
              <w:t>21,511</w:t>
            </w:r>
          </w:p>
        </w:tc>
      </w:tr>
    </w:tbl>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Style w:val="FigureChar"/>
          <w:rFonts w:ascii="Times New Roman" w:hAnsi="Times New Roman"/>
          <w:b w:val="0"/>
          <w:sz w:val="24"/>
        </w:rPr>
      </w:pP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Style w:val="FigureChar"/>
          <w:rFonts w:ascii="Times New Roman" w:hAnsi="Times New Roman"/>
          <w:b w:val="0"/>
          <w:sz w:val="24"/>
        </w:rPr>
      </w:pPr>
      <w:r w:rsidRPr="00D15774">
        <w:rPr>
          <w:rStyle w:val="FigureChar"/>
          <w:rFonts w:ascii="Times New Roman" w:hAnsi="Times New Roman"/>
          <w:b w:val="0"/>
          <w:sz w:val="24"/>
        </w:rPr>
        <w:t xml:space="preserve">In the Powder River case well completion venting from initial (3%) and recompletions (30%) are the largest VOC sources, showing 33% of the basin total emissions.  This is followed by </w:t>
      </w:r>
      <w:r w:rsidR="009857E9" w:rsidRPr="00D15774">
        <w:rPr>
          <w:rStyle w:val="FigureChar"/>
          <w:rFonts w:ascii="Times New Roman" w:hAnsi="Times New Roman"/>
          <w:b w:val="0"/>
          <w:sz w:val="24"/>
        </w:rPr>
        <w:t xml:space="preserve">fugitive leaks from </w:t>
      </w:r>
      <w:r w:rsidRPr="00D15774">
        <w:rPr>
          <w:rStyle w:val="FigureChar"/>
          <w:rFonts w:ascii="Times New Roman" w:hAnsi="Times New Roman"/>
          <w:b w:val="0"/>
          <w:sz w:val="24"/>
        </w:rPr>
        <w:t>compressor</w:t>
      </w:r>
      <w:r w:rsidR="00635494" w:rsidRPr="00D15774">
        <w:rPr>
          <w:rStyle w:val="FigureChar"/>
          <w:rFonts w:ascii="Times New Roman" w:hAnsi="Times New Roman"/>
          <w:b w:val="0"/>
          <w:sz w:val="24"/>
        </w:rPr>
        <w:t>s</w:t>
      </w:r>
      <w:r w:rsidRPr="00D15774">
        <w:rPr>
          <w:rStyle w:val="FigureChar"/>
          <w:rFonts w:ascii="Times New Roman" w:hAnsi="Times New Roman"/>
          <w:b w:val="0"/>
          <w:sz w:val="24"/>
        </w:rPr>
        <w:t xml:space="preserve"> </w:t>
      </w:r>
      <w:r w:rsidR="00635494" w:rsidRPr="00D15774">
        <w:rPr>
          <w:rStyle w:val="FigureChar"/>
          <w:rFonts w:ascii="Times New Roman" w:hAnsi="Times New Roman"/>
          <w:b w:val="0"/>
          <w:sz w:val="24"/>
        </w:rPr>
        <w:t>with</w:t>
      </w:r>
      <w:r w:rsidRPr="00D15774">
        <w:rPr>
          <w:rStyle w:val="FigureChar"/>
          <w:rFonts w:ascii="Times New Roman" w:hAnsi="Times New Roman"/>
          <w:b w:val="0"/>
          <w:sz w:val="24"/>
        </w:rPr>
        <w:t xml:space="preserve"> </w:t>
      </w:r>
      <w:r w:rsidR="00635494" w:rsidRPr="00D15774">
        <w:rPr>
          <w:rStyle w:val="FigureChar"/>
          <w:rFonts w:ascii="Times New Roman" w:hAnsi="Times New Roman"/>
          <w:b w:val="0"/>
          <w:sz w:val="24"/>
        </w:rPr>
        <w:t>18</w:t>
      </w:r>
      <w:r w:rsidRPr="00D15774">
        <w:rPr>
          <w:rStyle w:val="FigureChar"/>
          <w:rFonts w:ascii="Times New Roman" w:hAnsi="Times New Roman"/>
          <w:b w:val="0"/>
          <w:sz w:val="24"/>
        </w:rPr>
        <w:t>%</w:t>
      </w:r>
      <w:r w:rsidR="009857E9" w:rsidRPr="00D15774">
        <w:rPr>
          <w:rStyle w:val="FigureChar"/>
          <w:rFonts w:ascii="Times New Roman" w:hAnsi="Times New Roman"/>
          <w:b w:val="0"/>
          <w:sz w:val="24"/>
        </w:rPr>
        <w:t xml:space="preserve"> of the basin total</w:t>
      </w:r>
      <w:r w:rsidRPr="00D15774">
        <w:rPr>
          <w:rStyle w:val="FigureChar"/>
          <w:rFonts w:ascii="Times New Roman" w:hAnsi="Times New Roman"/>
          <w:b w:val="0"/>
          <w:sz w:val="24"/>
        </w:rPr>
        <w:t>, unpermitted fugitives with 16% and pneumatic devices with 13% of the basin’s VOC.  Glycol dehydrators with 5% and oil/condensate tanks with 3% make up the bulk of the rest of the sources.</w:t>
      </w: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Style w:val="FigureChar"/>
          <w:rFonts w:ascii="Times New Roman" w:hAnsi="Times New Roman"/>
          <w:b w:val="0"/>
          <w:sz w:val="24"/>
        </w:rPr>
      </w:pPr>
    </w:p>
    <w:p w:rsidR="00042617" w:rsidRPr="00D15774" w:rsidRDefault="00991A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Style w:val="FigureChar"/>
          <w:rFonts w:ascii="Times New Roman" w:hAnsi="Times New Roman"/>
          <w:b w:val="0"/>
          <w:sz w:val="24"/>
        </w:rPr>
      </w:pPr>
      <w:r w:rsidRPr="00D15774">
        <w:rPr>
          <w:rStyle w:val="FigureChar"/>
          <w:rFonts w:ascii="Times New Roman" w:hAnsi="Times New Roman"/>
          <w:b w:val="0"/>
          <w:sz w:val="24"/>
        </w:rPr>
        <w:t xml:space="preserve">As noted </w:t>
      </w:r>
      <w:r w:rsidR="00042617" w:rsidRPr="00D15774">
        <w:rPr>
          <w:rStyle w:val="FigureChar"/>
          <w:rFonts w:ascii="Times New Roman" w:hAnsi="Times New Roman"/>
          <w:b w:val="0"/>
          <w:sz w:val="24"/>
        </w:rPr>
        <w:t>new regulations of NSPS Subpart OOOO will address VOC emissions from completions at any new or existing non-exploratory or non-delineation wells (wells that are in close proximity to a gathering line) that have undergone high pressure hydraulic fracturing (fracing)</w:t>
      </w:r>
      <w:r w:rsidR="008654E4" w:rsidRPr="00D15774">
        <w:rPr>
          <w:rStyle w:val="FigureChar"/>
          <w:rFonts w:ascii="Times New Roman" w:hAnsi="Times New Roman"/>
          <w:b w:val="0"/>
          <w:sz w:val="24"/>
        </w:rPr>
        <w:t xml:space="preserve">.  The regulation will require </w:t>
      </w:r>
      <w:r w:rsidR="00042617" w:rsidRPr="00D15774">
        <w:rPr>
          <w:rStyle w:val="FigureChar"/>
          <w:rFonts w:ascii="Times New Roman" w:hAnsi="Times New Roman"/>
          <w:b w:val="0"/>
          <w:sz w:val="24"/>
        </w:rPr>
        <w:t>Green Completions for these wells, in combination with pit flaring for gas unsuitable to enter a sales pipeline.  As noted above Wyoming Chapter 6 Section 2 O&amp;G Permitting Guidance defines 3 area categories; 1) Jonah-Pinedale Anticline Development (JPAD), 2) Concentrated Development Area (CDA) &amp; 3) Statewide.  Green completions are required in the JPAD and in CDAs in Wyoming as of August 1, 2011.  The Powder River Basin is not classified as a CDA, therefore the requirement for Green Completions does not apply to this section.  Thus the effect of Subpart OOOO will be to minimize completion/recompletion</w:t>
      </w:r>
      <w:r w:rsidR="00635494" w:rsidRPr="00D15774">
        <w:rPr>
          <w:rStyle w:val="FigureChar"/>
          <w:rFonts w:ascii="Times New Roman" w:hAnsi="Times New Roman"/>
          <w:b w:val="0"/>
          <w:sz w:val="24"/>
        </w:rPr>
        <w:t xml:space="preserve"> VOC</w:t>
      </w:r>
      <w:r w:rsidR="00042617" w:rsidRPr="00D15774">
        <w:rPr>
          <w:rStyle w:val="FigureChar"/>
          <w:rFonts w:ascii="Times New Roman" w:hAnsi="Times New Roman"/>
          <w:b w:val="0"/>
          <w:sz w:val="24"/>
        </w:rPr>
        <w:t xml:space="preserve"> emissions </w:t>
      </w:r>
      <w:r w:rsidR="009857E9" w:rsidRPr="00D15774">
        <w:rPr>
          <w:rStyle w:val="FigureChar"/>
          <w:rFonts w:ascii="Times New Roman" w:hAnsi="Times New Roman"/>
          <w:b w:val="0"/>
          <w:sz w:val="24"/>
        </w:rPr>
        <w:t>in future emission inventories for</w:t>
      </w:r>
      <w:r w:rsidR="00042617" w:rsidRPr="00D15774">
        <w:rPr>
          <w:rStyle w:val="FigureChar"/>
          <w:rFonts w:ascii="Times New Roman" w:hAnsi="Times New Roman"/>
          <w:b w:val="0"/>
          <w:sz w:val="24"/>
        </w:rPr>
        <w:t xml:space="preserve"> the non tribal portion of the Powder River Basin. </w:t>
      </w: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Style w:val="FigureChar"/>
          <w:rFonts w:ascii="Times New Roman" w:hAnsi="Times New Roman"/>
          <w:b w:val="0"/>
          <w:sz w:val="24"/>
        </w:rPr>
      </w:pP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Style w:val="FigureChar"/>
          <w:rFonts w:ascii="Times New Roman" w:hAnsi="Times New Roman"/>
          <w:b w:val="0"/>
          <w:sz w:val="24"/>
        </w:rPr>
      </w:pPr>
      <w:r w:rsidRPr="00D15774">
        <w:rPr>
          <w:rStyle w:val="FigureChar"/>
          <w:rFonts w:ascii="Times New Roman" w:hAnsi="Times New Roman"/>
          <w:b w:val="0"/>
          <w:sz w:val="24"/>
        </w:rPr>
        <w:t xml:space="preserve">Regarding </w:t>
      </w:r>
      <w:r w:rsidR="00635494" w:rsidRPr="00D15774">
        <w:rPr>
          <w:rStyle w:val="FigureChar"/>
          <w:rFonts w:ascii="Times New Roman" w:hAnsi="Times New Roman"/>
          <w:b w:val="0"/>
          <w:sz w:val="24"/>
        </w:rPr>
        <w:t>compressors</w:t>
      </w:r>
      <w:r w:rsidRPr="00D15774">
        <w:rPr>
          <w:rStyle w:val="FigureChar"/>
          <w:rFonts w:ascii="Times New Roman" w:hAnsi="Times New Roman"/>
          <w:b w:val="0"/>
          <w:sz w:val="24"/>
        </w:rPr>
        <w:t xml:space="preserve"> NSPS Subpart OOOO addresses VOC emissions, mandating that centrifugal units be equipped with a dry seal system, and reciprocating engines have a maintenance schedule to replace rod packing every 26,000 hours.  The State of Wyoming has no existing regulations on compressor fugitive emissions, so Subpart OOOO would likely reduce</w:t>
      </w:r>
      <w:r w:rsidR="00635494" w:rsidRPr="00D15774">
        <w:rPr>
          <w:rStyle w:val="FigureChar"/>
          <w:rFonts w:ascii="Times New Roman" w:hAnsi="Times New Roman"/>
          <w:b w:val="0"/>
          <w:sz w:val="24"/>
        </w:rPr>
        <w:t xml:space="preserve"> compressor</w:t>
      </w:r>
      <w:r w:rsidRPr="00D15774">
        <w:rPr>
          <w:rStyle w:val="FigureChar"/>
          <w:rFonts w:ascii="Times New Roman" w:hAnsi="Times New Roman"/>
          <w:b w:val="0"/>
          <w:sz w:val="24"/>
        </w:rPr>
        <w:t xml:space="preserve"> VOC emissions in future inventories </w:t>
      </w:r>
      <w:r w:rsidR="009857E9" w:rsidRPr="00D15774">
        <w:rPr>
          <w:rStyle w:val="FigureChar"/>
          <w:rFonts w:ascii="Times New Roman" w:hAnsi="Times New Roman"/>
          <w:b w:val="0"/>
          <w:sz w:val="24"/>
        </w:rPr>
        <w:t>for</w:t>
      </w:r>
      <w:r w:rsidRPr="00D15774">
        <w:rPr>
          <w:rStyle w:val="FigureChar"/>
          <w:rFonts w:ascii="Times New Roman" w:hAnsi="Times New Roman"/>
          <w:b w:val="0"/>
          <w:sz w:val="24"/>
        </w:rPr>
        <w:t xml:space="preserve"> the Powder River Basin.</w:t>
      </w: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Style w:val="FigureChar"/>
          <w:rFonts w:ascii="Times New Roman" w:hAnsi="Times New Roman"/>
          <w:b w:val="0"/>
          <w:sz w:val="24"/>
        </w:rPr>
      </w:pP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Style w:val="FigureChar"/>
          <w:rFonts w:ascii="Times New Roman" w:hAnsi="Times New Roman"/>
          <w:b w:val="0"/>
          <w:sz w:val="24"/>
        </w:rPr>
      </w:pPr>
      <w:r w:rsidRPr="00D15774">
        <w:rPr>
          <w:rStyle w:val="FigureChar"/>
          <w:rFonts w:ascii="Times New Roman" w:hAnsi="Times New Roman"/>
          <w:b w:val="0"/>
          <w:sz w:val="24"/>
        </w:rPr>
        <w:t>As noted earlier, the new regulations do not address unpermitted fugitive emissions.</w:t>
      </w: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Style w:val="FigureChar"/>
          <w:rFonts w:ascii="Times New Roman" w:hAnsi="Times New Roman"/>
          <w:b w:val="0"/>
          <w:sz w:val="24"/>
        </w:rPr>
      </w:pP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Style w:val="FigureChar"/>
          <w:rFonts w:ascii="Times New Roman" w:hAnsi="Times New Roman"/>
          <w:b w:val="0"/>
          <w:sz w:val="24"/>
        </w:rPr>
      </w:pPr>
      <w:r w:rsidRPr="00D15774">
        <w:rPr>
          <w:rStyle w:val="FigureChar"/>
          <w:rFonts w:ascii="Times New Roman" w:hAnsi="Times New Roman"/>
          <w:b w:val="0"/>
          <w:sz w:val="24"/>
        </w:rPr>
        <w:t xml:space="preserve">The new regulations of NSPS Subpart OOOO will address VOC emissions from pneumatic devices, allowing no emissions from devices located at gas processing plants, while devices at other sites would be limited to </w:t>
      </w:r>
      <w:r w:rsidR="009857E9" w:rsidRPr="00D15774">
        <w:rPr>
          <w:rStyle w:val="FigureChar"/>
          <w:rFonts w:ascii="Times New Roman" w:hAnsi="Times New Roman"/>
          <w:b w:val="0"/>
          <w:sz w:val="24"/>
        </w:rPr>
        <w:t xml:space="preserve">VOC </w:t>
      </w:r>
      <w:r w:rsidRPr="00D15774">
        <w:rPr>
          <w:rStyle w:val="FigureChar"/>
          <w:rFonts w:ascii="Times New Roman" w:hAnsi="Times New Roman"/>
          <w:b w:val="0"/>
          <w:sz w:val="24"/>
        </w:rPr>
        <w:t>emissions of 6 ft</w:t>
      </w:r>
      <w:r w:rsidRPr="00D15774">
        <w:rPr>
          <w:rStyle w:val="FigureChar"/>
          <w:rFonts w:ascii="Times New Roman" w:hAnsi="Times New Roman"/>
          <w:b w:val="0"/>
          <w:sz w:val="24"/>
          <w:vertAlign w:val="superscript"/>
        </w:rPr>
        <w:t>3</w:t>
      </w:r>
      <w:r w:rsidRPr="00D15774">
        <w:rPr>
          <w:rStyle w:val="FigureChar"/>
          <w:rFonts w:ascii="Times New Roman" w:hAnsi="Times New Roman"/>
          <w:b w:val="0"/>
          <w:sz w:val="24"/>
        </w:rPr>
        <w:t xml:space="preserve">/day.  </w:t>
      </w:r>
      <w:r w:rsidR="003C4365" w:rsidRPr="00D15774">
        <w:rPr>
          <w:rStyle w:val="FigureChar"/>
          <w:rFonts w:ascii="Times New Roman" w:hAnsi="Times New Roman"/>
          <w:b w:val="0"/>
          <w:sz w:val="24"/>
        </w:rPr>
        <w:t xml:space="preserve">In Wyoming all pneumatic devices (excluding pumps) must be low or no bleed </w:t>
      </w:r>
      <w:r w:rsidR="009857E9" w:rsidRPr="00D15774">
        <w:rPr>
          <w:rStyle w:val="FigureChar"/>
          <w:rFonts w:ascii="Times New Roman" w:hAnsi="Times New Roman"/>
          <w:b w:val="0"/>
          <w:sz w:val="24"/>
        </w:rPr>
        <w:t xml:space="preserve">design </w:t>
      </w:r>
      <w:r w:rsidR="003C4365" w:rsidRPr="00D15774">
        <w:rPr>
          <w:rStyle w:val="FigureChar"/>
          <w:rFonts w:ascii="Times New Roman" w:hAnsi="Times New Roman"/>
          <w:b w:val="0"/>
          <w:sz w:val="24"/>
        </w:rPr>
        <w:t xml:space="preserve">which limits emissions to </w:t>
      </w:r>
      <w:r w:rsidR="009857E9" w:rsidRPr="00D15774">
        <w:rPr>
          <w:rStyle w:val="FigureChar"/>
          <w:rFonts w:ascii="Times New Roman" w:hAnsi="Times New Roman"/>
          <w:b w:val="0"/>
          <w:sz w:val="24"/>
        </w:rPr>
        <w:t>a</w:t>
      </w:r>
      <w:r w:rsidR="003C4365" w:rsidRPr="00D15774">
        <w:rPr>
          <w:rStyle w:val="FigureChar"/>
          <w:rFonts w:ascii="Times New Roman" w:hAnsi="Times New Roman"/>
          <w:b w:val="0"/>
          <w:sz w:val="24"/>
        </w:rPr>
        <w:t xml:space="preserve"> threshold of 6 ft</w:t>
      </w:r>
      <w:r w:rsidR="003C4365" w:rsidRPr="00D15774">
        <w:rPr>
          <w:rStyle w:val="FigureChar"/>
          <w:rFonts w:ascii="Times New Roman" w:hAnsi="Times New Roman"/>
          <w:b w:val="0"/>
          <w:sz w:val="24"/>
          <w:vertAlign w:val="superscript"/>
        </w:rPr>
        <w:t>3</w:t>
      </w:r>
      <w:r w:rsidR="003C4365" w:rsidRPr="00D15774">
        <w:rPr>
          <w:rStyle w:val="FigureChar"/>
          <w:rFonts w:ascii="Times New Roman" w:hAnsi="Times New Roman"/>
          <w:b w:val="0"/>
          <w:sz w:val="24"/>
        </w:rPr>
        <w:t>/day. Thus</w:t>
      </w:r>
      <w:r w:rsidRPr="00D15774">
        <w:rPr>
          <w:rStyle w:val="FigureChar"/>
          <w:rFonts w:ascii="Times New Roman" w:hAnsi="Times New Roman"/>
          <w:b w:val="0"/>
          <w:sz w:val="24"/>
        </w:rPr>
        <w:t xml:space="preserve"> Wyoming regulations on pneumatic devices </w:t>
      </w:r>
      <w:r w:rsidR="00CF5E41" w:rsidRPr="00D15774">
        <w:rPr>
          <w:rStyle w:val="FigureChar"/>
          <w:rFonts w:ascii="Times New Roman" w:hAnsi="Times New Roman"/>
          <w:b w:val="0"/>
          <w:sz w:val="24"/>
        </w:rPr>
        <w:t>do</w:t>
      </w:r>
      <w:r w:rsidR="003C4365" w:rsidRPr="00D15774">
        <w:rPr>
          <w:rStyle w:val="FigureChar"/>
          <w:rFonts w:ascii="Times New Roman" w:hAnsi="Times New Roman"/>
          <w:b w:val="0"/>
          <w:sz w:val="24"/>
        </w:rPr>
        <w:t xml:space="preserve"> </w:t>
      </w:r>
      <w:r w:rsidRPr="00D15774">
        <w:rPr>
          <w:rStyle w:val="FigureChar"/>
          <w:rFonts w:ascii="Times New Roman" w:hAnsi="Times New Roman"/>
          <w:b w:val="0"/>
          <w:sz w:val="24"/>
        </w:rPr>
        <w:t>apply</w:t>
      </w:r>
      <w:r w:rsidR="003C4365" w:rsidRPr="00D15774">
        <w:rPr>
          <w:rStyle w:val="FigureChar"/>
          <w:rFonts w:ascii="Times New Roman" w:hAnsi="Times New Roman"/>
          <w:b w:val="0"/>
          <w:sz w:val="24"/>
        </w:rPr>
        <w:t xml:space="preserve"> in the Powder River Basin</w:t>
      </w:r>
      <w:r w:rsidR="00CF5E41" w:rsidRPr="00D15774">
        <w:rPr>
          <w:rStyle w:val="FigureChar"/>
          <w:rFonts w:ascii="Times New Roman" w:hAnsi="Times New Roman"/>
          <w:b w:val="0"/>
          <w:sz w:val="24"/>
        </w:rPr>
        <w:t xml:space="preserve"> and</w:t>
      </w:r>
      <w:r w:rsidR="003C4365" w:rsidRPr="00D15774">
        <w:rPr>
          <w:rStyle w:val="FigureChar"/>
          <w:rFonts w:ascii="Times New Roman" w:hAnsi="Times New Roman"/>
          <w:b w:val="0"/>
          <w:sz w:val="24"/>
        </w:rPr>
        <w:t xml:space="preserve"> already control pneumatic devices as well as</w:t>
      </w:r>
      <w:r w:rsidRPr="00D15774">
        <w:rPr>
          <w:rStyle w:val="FigureChar"/>
          <w:rFonts w:ascii="Times New Roman" w:hAnsi="Times New Roman"/>
          <w:b w:val="0"/>
          <w:sz w:val="24"/>
        </w:rPr>
        <w:t xml:space="preserve"> Subpart OOOO</w:t>
      </w:r>
      <w:r w:rsidR="009857E9" w:rsidRPr="00D15774">
        <w:rPr>
          <w:rStyle w:val="FigureChar"/>
          <w:rFonts w:ascii="Times New Roman" w:hAnsi="Times New Roman"/>
          <w:b w:val="0"/>
          <w:sz w:val="24"/>
        </w:rPr>
        <w:t xml:space="preserve"> would</w:t>
      </w:r>
      <w:r w:rsidR="003C4365" w:rsidRPr="00D15774">
        <w:rPr>
          <w:rStyle w:val="FigureChar"/>
          <w:rFonts w:ascii="Times New Roman" w:hAnsi="Times New Roman"/>
          <w:b w:val="0"/>
          <w:sz w:val="24"/>
        </w:rPr>
        <w:t xml:space="preserve">.  Therefore </w:t>
      </w:r>
      <w:r w:rsidRPr="00D15774">
        <w:rPr>
          <w:rStyle w:val="FigureChar"/>
          <w:rFonts w:ascii="Times New Roman" w:hAnsi="Times New Roman"/>
          <w:b w:val="0"/>
          <w:sz w:val="24"/>
        </w:rPr>
        <w:t xml:space="preserve">VOC </w:t>
      </w:r>
      <w:r w:rsidRPr="00D15774">
        <w:rPr>
          <w:rStyle w:val="FigureChar"/>
          <w:rFonts w:ascii="Times New Roman" w:hAnsi="Times New Roman"/>
          <w:b w:val="0"/>
          <w:sz w:val="24"/>
        </w:rPr>
        <w:lastRenderedPageBreak/>
        <w:t xml:space="preserve">emissions from this source category </w:t>
      </w:r>
      <w:r w:rsidR="003C4365" w:rsidRPr="00D15774">
        <w:rPr>
          <w:rStyle w:val="FigureChar"/>
          <w:rFonts w:ascii="Times New Roman" w:hAnsi="Times New Roman"/>
          <w:b w:val="0"/>
          <w:sz w:val="24"/>
        </w:rPr>
        <w:t xml:space="preserve">will not likely be affected </w:t>
      </w:r>
      <w:r w:rsidR="00E10F59" w:rsidRPr="00D15774">
        <w:rPr>
          <w:rStyle w:val="FigureChar"/>
          <w:rFonts w:ascii="Times New Roman" w:hAnsi="Times New Roman"/>
          <w:b w:val="0"/>
          <w:sz w:val="24"/>
        </w:rPr>
        <w:t>in future inventories for</w:t>
      </w:r>
      <w:r w:rsidRPr="00D15774">
        <w:rPr>
          <w:rStyle w:val="FigureChar"/>
          <w:rFonts w:ascii="Times New Roman" w:hAnsi="Times New Roman"/>
          <w:b w:val="0"/>
          <w:sz w:val="24"/>
        </w:rPr>
        <w:t xml:space="preserve"> the Powder River Basin. </w:t>
      </w:r>
    </w:p>
    <w:p w:rsidR="00042617" w:rsidRPr="00D15774" w:rsidRDefault="00042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Style w:val="FigureChar"/>
          <w:rFonts w:ascii="Times New Roman" w:hAnsi="Times New Roman"/>
          <w:b w:val="0"/>
          <w:sz w:val="24"/>
        </w:rPr>
      </w:pPr>
    </w:p>
    <w:p w:rsidR="00042617" w:rsidRPr="00D15774" w:rsidRDefault="00E42B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Style w:val="FigureChar"/>
          <w:rFonts w:ascii="Times New Roman" w:hAnsi="Times New Roman"/>
          <w:b w:val="0"/>
          <w:sz w:val="24"/>
        </w:rPr>
      </w:pPr>
      <w:r w:rsidRPr="00D15774">
        <w:t xml:space="preserve">Regarding glycol dehydrators, EPA previously proposed to remove the 1 ton per year benzene compliance option for large glycol dehydrators, but with the revised risk analysis, the final rule retained this 1 TPY option for large dehydrators.  If annual benzene emissions don’t meet the 1 TPY threshold, under Subpart OOOO the large dehydrators would have to reduce air toxics their emissions by 95 percent.  </w:t>
      </w:r>
      <w:r w:rsidR="00042617" w:rsidRPr="00D15774">
        <w:rPr>
          <w:rStyle w:val="FigureChar"/>
          <w:rFonts w:ascii="Times New Roman" w:hAnsi="Times New Roman"/>
          <w:b w:val="0"/>
          <w:sz w:val="24"/>
        </w:rPr>
        <w:t xml:space="preserve">Wyoming Chapter 6 Section 2 O&amp;G Permitting Guidance </w:t>
      </w:r>
      <w:r w:rsidR="00E10F59" w:rsidRPr="00D15774">
        <w:rPr>
          <w:rStyle w:val="FigureChar"/>
          <w:rFonts w:ascii="Times New Roman" w:hAnsi="Times New Roman"/>
          <w:b w:val="0"/>
          <w:sz w:val="24"/>
        </w:rPr>
        <w:t xml:space="preserve">requires </w:t>
      </w:r>
      <w:r w:rsidR="00E10F59" w:rsidRPr="00D15774">
        <w:t xml:space="preserve">98% control for statewide PAD (multiple well) facilities upon startup/modification. </w:t>
      </w:r>
      <w:r w:rsidRPr="00D15774">
        <w:t xml:space="preserve"> Other than </w:t>
      </w:r>
      <w:r w:rsidR="00E10F59" w:rsidRPr="00D15774">
        <w:t>PAD facilities, single dehydration units with ≥6 tpy VOC emissions must be controlled by 98% within 60 days of startup/modification (units with ≥8 tpy VOC emissions must be controlled by 98% within 30 days of startup/modification).</w:t>
      </w:r>
      <w:r w:rsidRPr="00D15774">
        <w:t xml:space="preserve"> </w:t>
      </w:r>
      <w:r w:rsidR="00E10F59" w:rsidRPr="00D15774">
        <w:t xml:space="preserve"> Removal of controls is allowed after various elapsed time periods and upon WAQD approval when VOC emissions are less than 6 or 8 tpy depending on whether the dehydrators are equipped with condensers and/or glycol flash tanks, and depending on where the units are located.  </w:t>
      </w:r>
      <w:r w:rsidR="00042617" w:rsidRPr="00D15774">
        <w:rPr>
          <w:rStyle w:val="FigureChar"/>
          <w:rFonts w:ascii="Times New Roman" w:hAnsi="Times New Roman"/>
          <w:b w:val="0"/>
          <w:sz w:val="24"/>
        </w:rPr>
        <w:t xml:space="preserve">Thus the effect of Subpart OOOO </w:t>
      </w:r>
      <w:r w:rsidR="00635494" w:rsidRPr="00D15774">
        <w:rPr>
          <w:rStyle w:val="FigureChar"/>
          <w:rFonts w:ascii="Times New Roman" w:hAnsi="Times New Roman"/>
          <w:b w:val="0"/>
          <w:sz w:val="24"/>
        </w:rPr>
        <w:t xml:space="preserve">glycol dehydrator </w:t>
      </w:r>
      <w:r w:rsidRPr="00D15774">
        <w:rPr>
          <w:rStyle w:val="FigureChar"/>
          <w:rFonts w:ascii="Times New Roman" w:hAnsi="Times New Roman"/>
          <w:b w:val="0"/>
          <w:sz w:val="24"/>
        </w:rPr>
        <w:t xml:space="preserve">rules </w:t>
      </w:r>
      <w:r w:rsidR="00042617" w:rsidRPr="00D15774">
        <w:rPr>
          <w:rStyle w:val="FigureChar"/>
          <w:rFonts w:ascii="Times New Roman" w:hAnsi="Times New Roman"/>
          <w:b w:val="0"/>
          <w:sz w:val="24"/>
        </w:rPr>
        <w:t xml:space="preserve">will be minimized </w:t>
      </w:r>
      <w:r w:rsidRPr="00D15774">
        <w:rPr>
          <w:rStyle w:val="FigureChar"/>
          <w:rFonts w:ascii="Times New Roman" w:hAnsi="Times New Roman"/>
          <w:b w:val="0"/>
          <w:sz w:val="24"/>
        </w:rPr>
        <w:t xml:space="preserve">for VOC emissions </w:t>
      </w:r>
      <w:r w:rsidR="00042617" w:rsidRPr="00D15774">
        <w:rPr>
          <w:rStyle w:val="FigureChar"/>
          <w:rFonts w:ascii="Times New Roman" w:hAnsi="Times New Roman"/>
          <w:b w:val="0"/>
          <w:sz w:val="24"/>
        </w:rPr>
        <w:t xml:space="preserve">in the non tribal portion of the Powder River Basin by existing Wyoming regulations. </w:t>
      </w:r>
    </w:p>
    <w:p w:rsidR="00E10F59" w:rsidRPr="00D15774" w:rsidRDefault="00E10F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Style w:val="FigureChar"/>
          <w:rFonts w:ascii="Times New Roman" w:hAnsi="Times New Roman"/>
          <w:b w:val="0"/>
          <w:sz w:val="24"/>
        </w:rPr>
      </w:pPr>
    </w:p>
    <w:p w:rsidR="00042617" w:rsidRPr="00D15774" w:rsidRDefault="00635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Style w:val="FigureChar"/>
          <w:rFonts w:ascii="Times New Roman" w:hAnsi="Times New Roman"/>
          <w:b w:val="0"/>
          <w:sz w:val="24"/>
        </w:rPr>
      </w:pPr>
      <w:r w:rsidRPr="00D15774">
        <w:t xml:space="preserve">Also applicable to this basin, the </w:t>
      </w:r>
      <w:r w:rsidRPr="00D15774">
        <w:rPr>
          <w:rStyle w:val="FigureChar"/>
          <w:rFonts w:ascii="Times New Roman" w:hAnsi="Times New Roman"/>
          <w:b w:val="0"/>
          <w:sz w:val="24"/>
        </w:rPr>
        <w:t xml:space="preserve">Subpart OOOO regulation requires condensate tanks </w:t>
      </w:r>
      <w:r w:rsidRPr="00D15774">
        <w:t>constructed or modified after August 23, 2011, with 6 tpy of VOC of uncontrolled emissions</w:t>
      </w:r>
      <w:r w:rsidRPr="00D15774">
        <w:rPr>
          <w:rStyle w:val="FigureChar"/>
          <w:rFonts w:ascii="Times New Roman" w:hAnsi="Times New Roman"/>
          <w:b w:val="0"/>
          <w:sz w:val="24"/>
        </w:rPr>
        <w:t xml:space="preserve"> to reduce VOC by 95%. </w:t>
      </w:r>
      <w:r w:rsidRPr="00D15774">
        <w:t xml:space="preserve"> </w:t>
      </w:r>
      <w:r w:rsidR="00042617" w:rsidRPr="00D15774">
        <w:rPr>
          <w:rStyle w:val="FigureChar"/>
          <w:rFonts w:ascii="Times New Roman" w:hAnsi="Times New Roman"/>
          <w:b w:val="0"/>
          <w:sz w:val="24"/>
        </w:rPr>
        <w:t xml:space="preserve">Wyoming Chapter 6 Section 2 O&amp;G Permitting Guidance requires </w:t>
      </w:r>
      <w:r w:rsidR="0015424B" w:rsidRPr="00D15774">
        <w:t>98% control of all new/modified tank emissions</w:t>
      </w:r>
      <w:r w:rsidR="0015424B" w:rsidRPr="00D15774">
        <w:rPr>
          <w:rStyle w:val="FigureChar"/>
          <w:rFonts w:ascii="Times New Roman" w:hAnsi="Times New Roman"/>
          <w:b w:val="0"/>
          <w:sz w:val="24"/>
        </w:rPr>
        <w:t xml:space="preserve"> </w:t>
      </w:r>
      <w:r w:rsidR="00042617" w:rsidRPr="00D15774">
        <w:rPr>
          <w:rStyle w:val="FigureChar"/>
          <w:rFonts w:ascii="Times New Roman" w:hAnsi="Times New Roman"/>
          <w:b w:val="0"/>
          <w:sz w:val="24"/>
        </w:rPr>
        <w:t xml:space="preserve">≥10 </w:t>
      </w:r>
      <w:r w:rsidR="0059687A" w:rsidRPr="00D15774">
        <w:rPr>
          <w:rStyle w:val="FigureChar"/>
          <w:rFonts w:ascii="Times New Roman" w:hAnsi="Times New Roman"/>
          <w:b w:val="0"/>
          <w:sz w:val="24"/>
        </w:rPr>
        <w:t>tpy</w:t>
      </w:r>
      <w:r w:rsidR="00042617" w:rsidRPr="00D15774">
        <w:rPr>
          <w:rStyle w:val="FigureChar"/>
          <w:rFonts w:ascii="Times New Roman" w:hAnsi="Times New Roman"/>
          <w:b w:val="0"/>
          <w:sz w:val="24"/>
        </w:rPr>
        <w:t xml:space="preserve"> VOC within 60 days statewide.  Thus the effect of Subpart OOOO </w:t>
      </w:r>
      <w:r w:rsidR="008E0B70" w:rsidRPr="00D15774">
        <w:rPr>
          <w:rStyle w:val="FigureChar"/>
          <w:rFonts w:ascii="Times New Roman" w:hAnsi="Times New Roman"/>
          <w:b w:val="0"/>
          <w:sz w:val="24"/>
        </w:rPr>
        <w:t xml:space="preserve">on tank VOC emissions </w:t>
      </w:r>
      <w:r w:rsidR="00042617" w:rsidRPr="00D15774">
        <w:rPr>
          <w:rStyle w:val="FigureChar"/>
          <w:rFonts w:ascii="Times New Roman" w:hAnsi="Times New Roman"/>
          <w:b w:val="0"/>
          <w:sz w:val="24"/>
        </w:rPr>
        <w:t xml:space="preserve">will be minimized in the non tribal portion of the </w:t>
      </w:r>
      <w:r w:rsidR="0015424B" w:rsidRPr="00D15774">
        <w:rPr>
          <w:rStyle w:val="FigureChar"/>
          <w:rFonts w:ascii="Times New Roman" w:hAnsi="Times New Roman"/>
          <w:b w:val="0"/>
          <w:sz w:val="24"/>
        </w:rPr>
        <w:t>Powder</w:t>
      </w:r>
      <w:r w:rsidR="00042617" w:rsidRPr="00D15774">
        <w:rPr>
          <w:rStyle w:val="FigureChar"/>
          <w:rFonts w:ascii="Times New Roman" w:hAnsi="Times New Roman"/>
          <w:b w:val="0"/>
          <w:sz w:val="24"/>
        </w:rPr>
        <w:t xml:space="preserve"> River Basin by existing Wyoming regulations.</w:t>
      </w:r>
    </w:p>
    <w:p w:rsidR="0015424B" w:rsidRPr="00D15774" w:rsidRDefault="001542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Style w:val="FigureChar"/>
          <w:rFonts w:ascii="Times New Roman" w:hAnsi="Times New Roman"/>
          <w:b w:val="0"/>
          <w:sz w:val="24"/>
        </w:rPr>
      </w:pPr>
    </w:p>
    <w:p w:rsidR="00AF6EDD" w:rsidRPr="00D15774" w:rsidRDefault="002D6BE5" w:rsidP="00AF6ED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Regarding the federal rules for </w:t>
      </w:r>
      <w:r w:rsidR="001435A6" w:rsidRPr="00D15774">
        <w:t>“P</w:t>
      </w:r>
      <w:r w:rsidRPr="00D15774">
        <w:t xml:space="preserve">ermitting of </w:t>
      </w:r>
      <w:r w:rsidR="001435A6" w:rsidRPr="00D15774">
        <w:t>M</w:t>
      </w:r>
      <w:r w:rsidRPr="00D15774">
        <w:t xml:space="preserve">inor </w:t>
      </w:r>
      <w:r w:rsidR="001435A6" w:rsidRPr="00D15774">
        <w:t>S</w:t>
      </w:r>
      <w:r w:rsidRPr="00D15774">
        <w:t>ources on Indian Lands</w:t>
      </w:r>
      <w:r w:rsidR="001435A6" w:rsidRPr="00D15774">
        <w:t>”</w:t>
      </w:r>
      <w:r w:rsidRPr="00D15774">
        <w:t xml:space="preserve">, </w:t>
      </w:r>
      <w:r w:rsidRPr="00D15774">
        <w:rPr>
          <w:rStyle w:val="FigureChar"/>
          <w:rFonts w:ascii="Times New Roman" w:hAnsi="Times New Roman"/>
          <w:b w:val="0"/>
          <w:sz w:val="24"/>
        </w:rPr>
        <w:t>in the Powder River Basin</w:t>
      </w:r>
      <w:r w:rsidRPr="00D15774">
        <w:t xml:space="preserve"> Indian Lands comprise a small portion of the VOC sources</w:t>
      </w:r>
      <w:r w:rsidR="0003161E" w:rsidRPr="00D15774">
        <w:t>.  T</w:t>
      </w:r>
      <w:r w:rsidRPr="00D15774">
        <w:t xml:space="preserve">herefore </w:t>
      </w:r>
      <w:r w:rsidR="0003161E" w:rsidRPr="00D15774">
        <w:t>federal</w:t>
      </w:r>
      <w:r w:rsidRPr="00D15774">
        <w:t xml:space="preserve"> </w:t>
      </w:r>
      <w:r w:rsidR="001435A6" w:rsidRPr="00D15774">
        <w:t xml:space="preserve">permitting </w:t>
      </w:r>
      <w:r w:rsidRPr="00D15774">
        <w:t>r</w:t>
      </w:r>
      <w:r w:rsidR="0003161E" w:rsidRPr="00D15774">
        <w:t>eview</w:t>
      </w:r>
      <w:r w:rsidRPr="00D15774">
        <w:t xml:space="preserve"> will likely have some effect </w:t>
      </w:r>
      <w:r w:rsidR="003104F0" w:rsidRPr="00D15774">
        <w:t>on</w:t>
      </w:r>
      <w:r w:rsidRPr="00D15774">
        <w:t xml:space="preserve"> VOC emission totals in this area.  Although newly constructed sources like field compressors, artificial lift engines and heaters will have lower emissions than previously projected due to the federal permitting, there will likely be a number of existing sources that were never reported in the past.  These newly captured sources will now be included in emission inventories due to reporting requirements</w:t>
      </w:r>
      <w:r w:rsidR="001435A6" w:rsidRPr="00D15774">
        <w:t xml:space="preserve"> in the federal rule</w:t>
      </w:r>
      <w:r w:rsidRPr="00D15774">
        <w:t xml:space="preserve">.  Thus we may </w:t>
      </w:r>
      <w:r w:rsidR="0003161E" w:rsidRPr="00D15774">
        <w:t xml:space="preserve">actually </w:t>
      </w:r>
      <w:r w:rsidRPr="00D15774">
        <w:t xml:space="preserve">see some increased </w:t>
      </w:r>
      <w:r w:rsidR="0003161E" w:rsidRPr="00D15774">
        <w:t xml:space="preserve">VOC </w:t>
      </w:r>
      <w:r w:rsidRPr="00D15774">
        <w:t xml:space="preserve">emissions show up </w:t>
      </w:r>
      <w:r w:rsidR="0015424B" w:rsidRPr="00D15774">
        <w:t xml:space="preserve">in future emission inventories </w:t>
      </w:r>
      <w:r w:rsidRPr="00D15774">
        <w:t xml:space="preserve">on </w:t>
      </w:r>
      <w:r w:rsidR="00765567" w:rsidRPr="00D15774">
        <w:t>Tribal Lands</w:t>
      </w:r>
      <w:r w:rsidRPr="00D15774">
        <w:rPr>
          <w:rStyle w:val="FigureChar"/>
          <w:rFonts w:ascii="Times New Roman" w:hAnsi="Times New Roman"/>
          <w:b w:val="0"/>
          <w:sz w:val="24"/>
        </w:rPr>
        <w:t xml:space="preserve"> in the Powder River Basin</w:t>
      </w:r>
      <w:r w:rsidRPr="00D15774">
        <w:t xml:space="preserve"> </w:t>
      </w:r>
      <w:r w:rsidR="00943861" w:rsidRPr="00D15774">
        <w:t>due to this permitting regulation.</w:t>
      </w:r>
      <w:r w:rsidR="00AF6EDD" w:rsidRPr="00D15774">
        <w:br w:type="page"/>
      </w:r>
    </w:p>
    <w:p w:rsidR="005B5F48" w:rsidRPr="00E47241" w:rsidRDefault="00301BD8" w:rsidP="00E1181C">
      <w:pPr>
        <w:pStyle w:val="Heading3"/>
        <w:rPr>
          <w:rFonts w:ascii="Times New Roman" w:hAnsi="Times New Roman" w:cs="Times New Roman"/>
          <w:color w:val="auto"/>
        </w:rPr>
      </w:pPr>
      <w:bookmarkStart w:id="122" w:name="_Toc369087041"/>
      <w:r w:rsidRPr="00E47241">
        <w:rPr>
          <w:rFonts w:ascii="Times New Roman" w:hAnsi="Times New Roman" w:cs="Times New Roman"/>
          <w:color w:val="auto"/>
        </w:rPr>
        <w:lastRenderedPageBreak/>
        <w:t>SW Wyoming (G</w:t>
      </w:r>
      <w:r w:rsidR="00CB2273" w:rsidRPr="00E47241">
        <w:rPr>
          <w:rFonts w:ascii="Times New Roman" w:hAnsi="Times New Roman" w:cs="Times New Roman"/>
          <w:color w:val="auto"/>
        </w:rPr>
        <w:t>reen</w:t>
      </w:r>
      <w:r w:rsidR="005B5F48" w:rsidRPr="00E47241">
        <w:rPr>
          <w:rFonts w:ascii="Times New Roman" w:hAnsi="Times New Roman" w:cs="Times New Roman"/>
          <w:color w:val="auto"/>
        </w:rPr>
        <w:t xml:space="preserve"> River</w:t>
      </w:r>
      <w:r w:rsidRPr="00E47241">
        <w:rPr>
          <w:rFonts w:ascii="Times New Roman" w:hAnsi="Times New Roman" w:cs="Times New Roman"/>
          <w:color w:val="auto"/>
        </w:rPr>
        <w:t>)</w:t>
      </w:r>
      <w:r w:rsidR="005B5F48" w:rsidRPr="00E47241">
        <w:rPr>
          <w:rFonts w:ascii="Times New Roman" w:hAnsi="Times New Roman" w:cs="Times New Roman"/>
          <w:color w:val="auto"/>
        </w:rPr>
        <w:t xml:space="preserve"> Basin 2006 Emissions</w:t>
      </w:r>
      <w:bookmarkEnd w:id="122"/>
      <w:r w:rsidR="005B5F48" w:rsidRPr="00E47241">
        <w:rPr>
          <w:rFonts w:ascii="Times New Roman" w:hAnsi="Times New Roman" w:cs="Times New Roman"/>
          <w:color w:val="auto"/>
        </w:rPr>
        <w:fldChar w:fldCharType="begin"/>
      </w:r>
      <w:r w:rsidR="005B5F48" w:rsidRPr="00E47241">
        <w:rPr>
          <w:rFonts w:ascii="Times New Roman" w:hAnsi="Times New Roman" w:cs="Times New Roman"/>
          <w:color w:val="auto"/>
        </w:rPr>
        <w:instrText xml:space="preserve"> TC \l</w:instrText>
      </w:r>
      <w:r w:rsidR="00A00DFF" w:rsidRPr="00E47241">
        <w:rPr>
          <w:rFonts w:ascii="Times New Roman" w:hAnsi="Times New Roman" w:cs="Times New Roman"/>
          <w:color w:val="auto"/>
        </w:rPr>
        <w:instrText>3</w:instrText>
      </w:r>
      <w:r w:rsidR="005B5F48" w:rsidRPr="00E47241">
        <w:rPr>
          <w:rFonts w:ascii="Times New Roman" w:hAnsi="Times New Roman" w:cs="Times New Roman"/>
          <w:color w:val="auto"/>
        </w:rPr>
        <w:instrText xml:space="preserve"> "</w:instrText>
      </w:r>
      <w:bookmarkStart w:id="123" w:name="_Toc363192365"/>
      <w:r w:rsidRPr="00E47241">
        <w:rPr>
          <w:rFonts w:ascii="Times New Roman" w:hAnsi="Times New Roman" w:cs="Times New Roman"/>
          <w:color w:val="auto"/>
        </w:rPr>
        <w:instrText>SW</w:instrText>
      </w:r>
      <w:r w:rsidR="005B5F48" w:rsidRPr="00E47241">
        <w:rPr>
          <w:rFonts w:ascii="Times New Roman" w:hAnsi="Times New Roman" w:cs="Times New Roman"/>
          <w:color w:val="auto"/>
        </w:rPr>
        <w:instrText xml:space="preserve"> </w:instrText>
      </w:r>
      <w:r w:rsidRPr="00E47241">
        <w:rPr>
          <w:rFonts w:ascii="Times New Roman" w:hAnsi="Times New Roman" w:cs="Times New Roman"/>
          <w:color w:val="auto"/>
        </w:rPr>
        <w:instrText>Wyoming (Green River</w:instrText>
      </w:r>
      <w:r w:rsidR="005B5F48" w:rsidRPr="00E47241">
        <w:rPr>
          <w:rFonts w:ascii="Times New Roman" w:hAnsi="Times New Roman" w:cs="Times New Roman"/>
          <w:color w:val="auto"/>
        </w:rPr>
        <w:instrText xml:space="preserve"> Basin</w:instrText>
      </w:r>
      <w:r w:rsidRPr="00E47241">
        <w:rPr>
          <w:rFonts w:ascii="Times New Roman" w:hAnsi="Times New Roman" w:cs="Times New Roman"/>
          <w:color w:val="auto"/>
        </w:rPr>
        <w:instrText>)</w:instrText>
      </w:r>
      <w:r w:rsidR="005B5F48" w:rsidRPr="00E47241">
        <w:rPr>
          <w:rFonts w:ascii="Times New Roman" w:hAnsi="Times New Roman" w:cs="Times New Roman"/>
          <w:color w:val="auto"/>
        </w:rPr>
        <w:instrText xml:space="preserve"> 2006 Emissions</w:instrText>
      </w:r>
      <w:bookmarkEnd w:id="123"/>
      <w:r w:rsidR="005B5F48" w:rsidRPr="00E47241">
        <w:rPr>
          <w:rFonts w:ascii="Times New Roman" w:hAnsi="Times New Roman" w:cs="Times New Roman"/>
          <w:color w:val="auto"/>
        </w:rPr>
        <w:fldChar w:fldCharType="end"/>
      </w:r>
    </w:p>
    <w:p w:rsidR="005B5F48" w:rsidRPr="00C47C14" w:rsidRDefault="005B5F48" w:rsidP="00C47C14">
      <w:pPr>
        <w:pStyle w:val="Heading4"/>
        <w:jc w:val="center"/>
        <w:rPr>
          <w:rFonts w:ascii="Times New Roman" w:hAnsi="Times New Roman" w:cs="Times New Roman"/>
          <w:i w:val="0"/>
        </w:rPr>
      </w:pPr>
      <w:bookmarkStart w:id="124" w:name="_Toc369087042"/>
      <w:r w:rsidRPr="00C47C14">
        <w:rPr>
          <w:rFonts w:ascii="Times New Roman" w:hAnsi="Times New Roman" w:cs="Times New Roman"/>
          <w:i w:val="0"/>
          <w:color w:val="auto"/>
        </w:rPr>
        <w:t xml:space="preserve">Figure </w:t>
      </w:r>
      <w:r w:rsidR="00CB2273" w:rsidRPr="00C47C14">
        <w:rPr>
          <w:rFonts w:ascii="Times New Roman" w:hAnsi="Times New Roman" w:cs="Times New Roman"/>
          <w:i w:val="0"/>
          <w:color w:val="auto"/>
        </w:rPr>
        <w:t>9</w:t>
      </w:r>
      <w:r w:rsidRPr="00C47C14">
        <w:rPr>
          <w:rFonts w:ascii="Times New Roman" w:hAnsi="Times New Roman" w:cs="Times New Roman"/>
          <w:i w:val="0"/>
          <w:color w:val="auto"/>
        </w:rPr>
        <w:t xml:space="preserve">: </w:t>
      </w:r>
      <w:r w:rsidR="00301BD8" w:rsidRPr="00C47C14">
        <w:rPr>
          <w:rFonts w:ascii="Times New Roman" w:hAnsi="Times New Roman" w:cs="Times New Roman"/>
          <w:i w:val="0"/>
          <w:color w:val="auto"/>
        </w:rPr>
        <w:t xml:space="preserve">SW Wyoming </w:t>
      </w:r>
      <w:r w:rsidRPr="00C47C14">
        <w:rPr>
          <w:rFonts w:ascii="Times New Roman" w:hAnsi="Times New Roman" w:cs="Times New Roman"/>
          <w:i w:val="0"/>
          <w:color w:val="auto"/>
        </w:rPr>
        <w:t>Basin Boundaries Overlaid With 2006 O</w:t>
      </w:r>
      <w:r w:rsidR="007F272E">
        <w:rPr>
          <w:rFonts w:ascii="Times New Roman" w:hAnsi="Times New Roman" w:cs="Times New Roman"/>
          <w:i w:val="0"/>
          <w:color w:val="auto"/>
        </w:rPr>
        <w:t>&amp;</w:t>
      </w:r>
      <w:r w:rsidRPr="00C47C14">
        <w:rPr>
          <w:rFonts w:ascii="Times New Roman" w:hAnsi="Times New Roman" w:cs="Times New Roman"/>
          <w:i w:val="0"/>
          <w:color w:val="auto"/>
        </w:rPr>
        <w:t>G Well Locations</w:t>
      </w:r>
      <w:bookmarkEnd w:id="124"/>
      <w:r w:rsidRPr="00C47C14">
        <w:rPr>
          <w:rFonts w:ascii="Times New Roman" w:hAnsi="Times New Roman" w:cs="Times New Roman"/>
          <w:i w:val="0"/>
        </w:rPr>
        <w:fldChar w:fldCharType="begin"/>
      </w:r>
      <w:r w:rsidRPr="00C47C14">
        <w:rPr>
          <w:rFonts w:ascii="Times New Roman" w:hAnsi="Times New Roman" w:cs="Times New Roman"/>
          <w:i w:val="0"/>
        </w:rPr>
        <w:instrText xml:space="preserve"> TC \l</w:instrText>
      </w:r>
      <w:r w:rsidR="00A00DFF" w:rsidRPr="00C47C14">
        <w:rPr>
          <w:rFonts w:ascii="Times New Roman" w:hAnsi="Times New Roman" w:cs="Times New Roman"/>
          <w:i w:val="0"/>
        </w:rPr>
        <w:instrText>4</w:instrText>
      </w:r>
      <w:r w:rsidRPr="00C47C14">
        <w:rPr>
          <w:rFonts w:ascii="Times New Roman" w:hAnsi="Times New Roman" w:cs="Times New Roman"/>
          <w:i w:val="0"/>
        </w:rPr>
        <w:instrText xml:space="preserve"> "</w:instrText>
      </w:r>
      <w:bookmarkStart w:id="125" w:name="_Toc363192366"/>
      <w:r w:rsidRPr="00C47C14">
        <w:rPr>
          <w:rFonts w:ascii="Times New Roman" w:hAnsi="Times New Roman" w:cs="Times New Roman"/>
          <w:i w:val="0"/>
        </w:rPr>
        <w:instrText xml:space="preserve">Figure </w:instrText>
      </w:r>
      <w:r w:rsidR="0050104C" w:rsidRPr="00C47C14">
        <w:rPr>
          <w:rFonts w:ascii="Times New Roman" w:hAnsi="Times New Roman" w:cs="Times New Roman"/>
          <w:i w:val="0"/>
        </w:rPr>
        <w:instrText>9</w:instrText>
      </w:r>
      <w:r w:rsidRPr="00C47C14">
        <w:rPr>
          <w:rFonts w:ascii="Times New Roman" w:hAnsi="Times New Roman" w:cs="Times New Roman"/>
          <w:i w:val="0"/>
        </w:rPr>
        <w:instrText xml:space="preserve">: </w:instrText>
      </w:r>
      <w:r w:rsidR="00301BD8" w:rsidRPr="00C47C14">
        <w:rPr>
          <w:rFonts w:ascii="Times New Roman" w:hAnsi="Times New Roman" w:cs="Times New Roman"/>
          <w:i w:val="0"/>
        </w:rPr>
        <w:instrText>SW</w:instrText>
      </w:r>
      <w:r w:rsidRPr="00C47C14">
        <w:rPr>
          <w:rFonts w:ascii="Times New Roman" w:hAnsi="Times New Roman" w:cs="Times New Roman"/>
          <w:i w:val="0"/>
        </w:rPr>
        <w:instrText xml:space="preserve"> </w:instrText>
      </w:r>
      <w:r w:rsidR="00301BD8" w:rsidRPr="00C47C14">
        <w:rPr>
          <w:rFonts w:ascii="Times New Roman" w:hAnsi="Times New Roman" w:cs="Times New Roman"/>
          <w:i w:val="0"/>
        </w:rPr>
        <w:instrText>Wyoming</w:instrText>
      </w:r>
      <w:r w:rsidRPr="00C47C14">
        <w:rPr>
          <w:rFonts w:ascii="Times New Roman" w:hAnsi="Times New Roman" w:cs="Times New Roman"/>
          <w:i w:val="0"/>
        </w:rPr>
        <w:instrText xml:space="preserve"> Basin Boundaries Overlaid With 2006 O</w:instrText>
      </w:r>
      <w:r w:rsidR="007F272E">
        <w:rPr>
          <w:rFonts w:ascii="Times New Roman" w:hAnsi="Times New Roman" w:cs="Times New Roman"/>
          <w:i w:val="0"/>
        </w:rPr>
        <w:instrText>&amp;</w:instrText>
      </w:r>
      <w:r w:rsidRPr="00C47C14">
        <w:rPr>
          <w:rFonts w:ascii="Times New Roman" w:hAnsi="Times New Roman" w:cs="Times New Roman"/>
          <w:i w:val="0"/>
        </w:rPr>
        <w:instrText>G Well Locations</w:instrText>
      </w:r>
      <w:bookmarkEnd w:id="125"/>
      <w:r w:rsidRPr="00C47C14">
        <w:rPr>
          <w:rFonts w:ascii="Times New Roman" w:hAnsi="Times New Roman" w:cs="Times New Roman"/>
          <w:i w:val="0"/>
        </w:rPr>
        <w:fldChar w:fldCharType="end"/>
      </w:r>
    </w:p>
    <w:p w:rsidR="00BF6DB9" w:rsidRPr="00D15774" w:rsidRDefault="00BF6DB9" w:rsidP="00BF6D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rPr>
          <w:noProof/>
        </w:rPr>
        <mc:AlternateContent>
          <mc:Choice Requires="wps">
            <w:drawing>
              <wp:inline distT="0" distB="0" distL="0" distR="0" wp14:anchorId="4A49054F" wp14:editId="6E5D8429">
                <wp:extent cx="5829300" cy="6939280"/>
                <wp:effectExtent l="0" t="0" r="6985" b="0"/>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939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938" w:rsidRDefault="00645938" w:rsidP="00BF6DB9">
                            <w:r>
                              <w:rPr>
                                <w:noProof/>
                              </w:rPr>
                              <w:drawing>
                                <wp:inline distT="0" distB="0" distL="0" distR="0" wp14:anchorId="4BA2DEAC" wp14:editId="42455263">
                                  <wp:extent cx="6448425" cy="6772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W_Wyoming_wells_2006.png"/>
                                          <pic:cNvPicPr/>
                                        </pic:nvPicPr>
                                        <pic:blipFill>
                                          <a:blip r:embed="rId52">
                                            <a:extLst>
                                              <a:ext uri="{28A0092B-C50C-407E-A947-70E740481C1C}">
                                                <a14:useLocalDpi xmlns:a14="http://schemas.microsoft.com/office/drawing/2010/main" val="0"/>
                                              </a:ext>
                                            </a:extLst>
                                          </a:blip>
                                          <a:stretch>
                                            <a:fillRect/>
                                          </a:stretch>
                                        </pic:blipFill>
                                        <pic:spPr>
                                          <a:xfrm>
                                            <a:off x="0" y="0"/>
                                            <a:ext cx="6448425" cy="6772275"/>
                                          </a:xfrm>
                                          <a:prstGeom prst="rect">
                                            <a:avLst/>
                                          </a:prstGeom>
                                        </pic:spPr>
                                      </pic:pic>
                                    </a:graphicData>
                                  </a:graphic>
                                </wp:inline>
                              </w:drawing>
                            </w:r>
                          </w:p>
                        </w:txbxContent>
                      </wps:txbx>
                      <wps:bodyPr rot="0" vert="horz" wrap="none" lIns="0" tIns="0" rIns="0" bIns="0" anchor="t" anchorCtr="0" upright="1">
                        <a:spAutoFit/>
                      </wps:bodyPr>
                    </wps:wsp>
                  </a:graphicData>
                </a:graphic>
              </wp:inline>
            </w:drawing>
          </mc:Choice>
          <mc:Fallback>
            <w:pict>
              <v:shape w14:anchorId="4A49054F" id="_x0000_s1030" type="#_x0000_t202" style="width:459pt;height:546.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" stroked="f">
                <v:textbox style="mso-fit-shape-to-text:t" inset="0,0,0,0">
                  <w:txbxContent>
                    <w:p w:rsidR="00645938" w:rsidRDefault="00645938" w:rsidP="00BF6DB9">
                      <w:r>
                        <w:rPr>
                          <w:noProof/>
                        </w:rPr>
                        <w:drawing>
                          <wp:inline distT="0" distB="0" distL="0" distR="0" wp14:anchorId="4BA2DEAC" wp14:editId="42455263">
                            <wp:extent cx="6448425" cy="6772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W_Wyoming_wells_2006.png"/>
                                    <pic:cNvPicPr/>
                                  </pic:nvPicPr>
                                  <pic:blipFill>
                                    <a:blip r:embed="rId52">
                                      <a:extLst>
                                        <a:ext uri="{28A0092B-C50C-407E-A947-70E740481C1C}">
                                          <a14:useLocalDpi xmlns:a14="http://schemas.microsoft.com/office/drawing/2010/main" val="0"/>
                                        </a:ext>
                                      </a:extLst>
                                    </a:blip>
                                    <a:stretch>
                                      <a:fillRect/>
                                    </a:stretch>
                                  </pic:blipFill>
                                  <pic:spPr>
                                    <a:xfrm>
                                      <a:off x="0" y="0"/>
                                      <a:ext cx="6448425" cy="6772275"/>
                                    </a:xfrm>
                                    <a:prstGeom prst="rect">
                                      <a:avLst/>
                                    </a:prstGeom>
                                  </pic:spPr>
                                </pic:pic>
                              </a:graphicData>
                            </a:graphic>
                          </wp:inline>
                        </w:drawing>
                      </w:r>
                    </w:p>
                  </w:txbxContent>
                </v:textbox>
                <w10:anchorlock/>
              </v:shape>
            </w:pict>
          </mc:Fallback>
        </mc:AlternateContent>
      </w:r>
    </w:p>
    <w:p w:rsidR="00BF6DB9" w:rsidRPr="00D15774" w:rsidRDefault="00A04C7D" w:rsidP="00BF6D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Table 1</w:t>
      </w:r>
      <w:r w:rsidR="00761A2D" w:rsidRPr="00D15774">
        <w:t>9</w:t>
      </w:r>
      <w:r w:rsidR="00BF6DB9" w:rsidRPr="00D15774">
        <w:t xml:space="preserve"> contains a listing of the Green River Basin NOx emissions from the ENVIRON’s </w:t>
      </w:r>
      <w:r w:rsidR="00CB2273" w:rsidRPr="00D15774">
        <w:t>November</w:t>
      </w:r>
      <w:r w:rsidR="00BF6DB9" w:rsidRPr="00D15774">
        <w:t xml:space="preserve"> 2</w:t>
      </w:r>
      <w:r w:rsidR="00CB2273" w:rsidRPr="00D15774">
        <w:t>7</w:t>
      </w:r>
      <w:r w:rsidR="00BF6DB9" w:rsidRPr="00D15774">
        <w:t>, 201</w:t>
      </w:r>
      <w:r w:rsidR="00CB2273" w:rsidRPr="00D15774">
        <w:t>2</w:t>
      </w:r>
      <w:r w:rsidR="00BF6DB9" w:rsidRPr="00D15774">
        <w:t xml:space="preserve"> Technical Memo, “DEVELOPMENT OF BASELINE 2006 EMISSIONS FROM OIL AND GAS ACTIVITY IN THE SOUTHWEST WYOMING (GREATER GREEN RIVER) BASIN” located at:</w:t>
      </w:r>
    </w:p>
    <w:p w:rsidR="00BF6DB9" w:rsidRPr="00D15774" w:rsidRDefault="00BF6DB9" w:rsidP="00BF6D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BF6DB9" w:rsidRPr="00D15774" w:rsidRDefault="00645938" w:rsidP="00BF6D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pPr>
      <w:hyperlink r:id="rId53" w:history="1">
        <w:r w:rsidR="0015424B" w:rsidRPr="00D15774">
          <w:rPr>
            <w:rStyle w:val="Hyperlink"/>
            <w:sz w:val="24"/>
            <w:szCs w:val="20"/>
          </w:rPr>
          <w:t>http://www.wrapair2.org/pdf/2006_Baseline_Emiss_SWWY_Basin_120712.pdf</w:t>
        </w:r>
      </w:hyperlink>
    </w:p>
    <w:p w:rsidR="0015424B" w:rsidRPr="00D15774" w:rsidRDefault="0015424B" w:rsidP="00BF6D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pPr>
    </w:p>
    <w:p w:rsidR="00521CA1" w:rsidRPr="00C47C14" w:rsidRDefault="005B5F48" w:rsidP="00C47C14">
      <w:pPr>
        <w:pStyle w:val="Heading4"/>
        <w:jc w:val="center"/>
        <w:rPr>
          <w:rFonts w:ascii="Times New Roman" w:hAnsi="Times New Roman" w:cs="Times New Roman"/>
          <w:i w:val="0"/>
        </w:rPr>
      </w:pPr>
      <w:bookmarkStart w:id="126" w:name="_Toc369087043"/>
      <w:r w:rsidRPr="00C47C14">
        <w:rPr>
          <w:rStyle w:val="FigureChar"/>
          <w:rFonts w:ascii="Times New Roman" w:hAnsi="Times New Roman" w:cs="Times New Roman"/>
          <w:b/>
          <w:i w:val="0"/>
          <w:color w:val="auto"/>
          <w:sz w:val="24"/>
        </w:rPr>
        <w:lastRenderedPageBreak/>
        <w:t>Table 1</w:t>
      </w:r>
      <w:r w:rsidR="00761A2D" w:rsidRPr="00C47C14">
        <w:rPr>
          <w:rStyle w:val="FigureChar"/>
          <w:rFonts w:ascii="Times New Roman" w:hAnsi="Times New Roman" w:cs="Times New Roman"/>
          <w:b/>
          <w:i w:val="0"/>
          <w:color w:val="auto"/>
          <w:sz w:val="24"/>
        </w:rPr>
        <w:t>9</w:t>
      </w:r>
      <w:r w:rsidRPr="00C47C14">
        <w:rPr>
          <w:rStyle w:val="FigureChar"/>
          <w:rFonts w:ascii="Times New Roman" w:hAnsi="Times New Roman" w:cs="Times New Roman"/>
          <w:b/>
          <w:i w:val="0"/>
          <w:color w:val="auto"/>
          <w:sz w:val="24"/>
        </w:rPr>
        <w:t xml:space="preserve">: </w:t>
      </w:r>
      <w:r w:rsidR="00521CA1" w:rsidRPr="00C47C14">
        <w:rPr>
          <w:rStyle w:val="FigureChar"/>
          <w:rFonts w:ascii="Times New Roman" w:hAnsi="Times New Roman" w:cs="Times New Roman"/>
          <w:b/>
          <w:i w:val="0"/>
          <w:color w:val="auto"/>
          <w:sz w:val="24"/>
        </w:rPr>
        <w:t xml:space="preserve">SW Wyoming </w:t>
      </w:r>
      <w:r w:rsidRPr="00C47C14">
        <w:rPr>
          <w:rStyle w:val="FigureChar"/>
          <w:rFonts w:ascii="Times New Roman" w:hAnsi="Times New Roman" w:cs="Times New Roman"/>
          <w:b/>
          <w:i w:val="0"/>
          <w:color w:val="auto"/>
          <w:sz w:val="24"/>
        </w:rPr>
        <w:t>Basin 2006 NOx Emission Sources (tpy)</w:t>
      </w:r>
      <w:bookmarkEnd w:id="126"/>
      <w:r w:rsidRPr="00C47C14">
        <w:rPr>
          <w:rFonts w:ascii="Times New Roman" w:hAnsi="Times New Roman" w:cs="Times New Roman"/>
          <w:i w:val="0"/>
        </w:rPr>
        <w:fldChar w:fldCharType="begin"/>
      </w:r>
      <w:r w:rsidRPr="00C47C14">
        <w:rPr>
          <w:rStyle w:val="FigureChar"/>
          <w:rFonts w:ascii="Times New Roman" w:hAnsi="Times New Roman" w:cs="Times New Roman"/>
          <w:b/>
          <w:i w:val="0"/>
          <w:sz w:val="24"/>
        </w:rPr>
        <w:instrText xml:space="preserve"> TC \l</w:instrText>
      </w:r>
      <w:r w:rsidR="00A00DFF" w:rsidRPr="00C47C14">
        <w:rPr>
          <w:rStyle w:val="FigureChar"/>
          <w:rFonts w:ascii="Times New Roman" w:hAnsi="Times New Roman" w:cs="Times New Roman"/>
          <w:b/>
          <w:i w:val="0"/>
          <w:sz w:val="24"/>
        </w:rPr>
        <w:instrText>4</w:instrText>
      </w:r>
      <w:r w:rsidRPr="00C47C14">
        <w:rPr>
          <w:rStyle w:val="FigureChar"/>
          <w:rFonts w:ascii="Times New Roman" w:hAnsi="Times New Roman" w:cs="Times New Roman"/>
          <w:b/>
          <w:i w:val="0"/>
          <w:sz w:val="24"/>
        </w:rPr>
        <w:instrText xml:space="preserve"> "</w:instrText>
      </w:r>
      <w:bookmarkStart w:id="127" w:name="_Toc363192367"/>
      <w:r w:rsidRPr="00C47C14">
        <w:rPr>
          <w:rStyle w:val="FigureChar"/>
          <w:rFonts w:ascii="Times New Roman" w:hAnsi="Times New Roman" w:cs="Times New Roman"/>
          <w:b/>
          <w:i w:val="0"/>
          <w:sz w:val="24"/>
        </w:rPr>
        <w:instrText>Table 1</w:instrText>
      </w:r>
      <w:r w:rsidR="0050104C" w:rsidRPr="00C47C14">
        <w:rPr>
          <w:rStyle w:val="FigureChar"/>
          <w:rFonts w:ascii="Times New Roman" w:hAnsi="Times New Roman" w:cs="Times New Roman"/>
          <w:b/>
          <w:i w:val="0"/>
          <w:sz w:val="24"/>
        </w:rPr>
        <w:instrText>7</w:instrText>
      </w:r>
      <w:r w:rsidRPr="00C47C14">
        <w:rPr>
          <w:rStyle w:val="FigureChar"/>
          <w:rFonts w:ascii="Times New Roman" w:hAnsi="Times New Roman" w:cs="Times New Roman"/>
          <w:b/>
          <w:i w:val="0"/>
          <w:sz w:val="24"/>
        </w:rPr>
        <w:instrText xml:space="preserve">: </w:instrText>
      </w:r>
      <w:r w:rsidR="00A00DFF" w:rsidRPr="00C47C14">
        <w:rPr>
          <w:rStyle w:val="FigureChar"/>
          <w:rFonts w:ascii="Times New Roman" w:hAnsi="Times New Roman" w:cs="Times New Roman"/>
          <w:b/>
          <w:i w:val="0"/>
          <w:sz w:val="24"/>
        </w:rPr>
        <w:instrText>SW</w:instrText>
      </w:r>
      <w:r w:rsidRPr="00C47C14">
        <w:rPr>
          <w:rStyle w:val="FigureChar"/>
          <w:rFonts w:ascii="Times New Roman" w:hAnsi="Times New Roman" w:cs="Times New Roman"/>
          <w:b/>
          <w:i w:val="0"/>
          <w:sz w:val="24"/>
        </w:rPr>
        <w:instrText xml:space="preserve"> </w:instrText>
      </w:r>
      <w:r w:rsidR="00A00DFF" w:rsidRPr="00C47C14">
        <w:rPr>
          <w:rStyle w:val="FigureChar"/>
          <w:rFonts w:ascii="Times New Roman" w:hAnsi="Times New Roman" w:cs="Times New Roman"/>
          <w:b/>
          <w:i w:val="0"/>
          <w:sz w:val="24"/>
        </w:rPr>
        <w:instrText>Wyoming</w:instrText>
      </w:r>
      <w:r w:rsidRPr="00C47C14">
        <w:rPr>
          <w:rStyle w:val="FigureChar"/>
          <w:rFonts w:ascii="Times New Roman" w:hAnsi="Times New Roman" w:cs="Times New Roman"/>
          <w:b/>
          <w:i w:val="0"/>
          <w:sz w:val="24"/>
        </w:rPr>
        <w:instrText xml:space="preserve"> Basin 2006 NOx Emission Sources (TPY)</w:instrText>
      </w:r>
      <w:bookmarkEnd w:id="127"/>
      <w:r w:rsidRPr="00C47C14">
        <w:rPr>
          <w:rFonts w:ascii="Times New Roman" w:hAnsi="Times New Roman" w:cs="Times New Roman"/>
          <w:i w:val="0"/>
        </w:rPr>
        <w:fldChar w:fldCharType="end"/>
      </w:r>
    </w:p>
    <w:tbl>
      <w:tblPr>
        <w:tblW w:w="473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86"/>
        <w:gridCol w:w="1312"/>
        <w:gridCol w:w="736"/>
        <w:gridCol w:w="900"/>
        <w:gridCol w:w="1312"/>
        <w:gridCol w:w="1177"/>
        <w:gridCol w:w="847"/>
      </w:tblGrid>
      <w:tr w:rsidR="00521CA1" w:rsidRPr="00D15774" w:rsidTr="0015424B">
        <w:trPr>
          <w:trHeight w:val="528"/>
        </w:trPr>
        <w:tc>
          <w:tcPr>
            <w:tcW w:w="1536" w:type="pct"/>
            <w:shd w:val="clear" w:color="auto" w:fill="E6E6E6"/>
            <w:vAlign w:val="bottom"/>
          </w:tcPr>
          <w:p w:rsidR="00521CA1" w:rsidRPr="00D15774" w:rsidRDefault="00521CA1" w:rsidP="00521CA1">
            <w:pPr>
              <w:jc w:val="center"/>
              <w:rPr>
                <w:b/>
                <w:bCs/>
                <w:sz w:val="18"/>
                <w:szCs w:val="18"/>
              </w:rPr>
            </w:pPr>
          </w:p>
        </w:tc>
        <w:tc>
          <w:tcPr>
            <w:tcW w:w="723" w:type="pct"/>
            <w:shd w:val="clear" w:color="auto" w:fill="E6E6E6"/>
            <w:vAlign w:val="bottom"/>
          </w:tcPr>
          <w:p w:rsidR="00521CA1" w:rsidRPr="00D15774" w:rsidRDefault="00521CA1" w:rsidP="00521CA1">
            <w:pPr>
              <w:jc w:val="center"/>
              <w:rPr>
                <w:b/>
                <w:bCs/>
                <w:sz w:val="18"/>
                <w:szCs w:val="18"/>
              </w:rPr>
            </w:pPr>
            <w:r w:rsidRPr="00D15774">
              <w:rPr>
                <w:b/>
                <w:bCs/>
                <w:sz w:val="18"/>
                <w:szCs w:val="18"/>
              </w:rPr>
              <w:t>Compressor Engines</w:t>
            </w:r>
          </w:p>
        </w:tc>
        <w:tc>
          <w:tcPr>
            <w:tcW w:w="406" w:type="pct"/>
            <w:shd w:val="clear" w:color="auto" w:fill="E6E6E6"/>
            <w:vAlign w:val="bottom"/>
          </w:tcPr>
          <w:p w:rsidR="00521CA1" w:rsidRPr="00D15774" w:rsidRDefault="00521CA1" w:rsidP="00521CA1">
            <w:pPr>
              <w:jc w:val="center"/>
              <w:rPr>
                <w:b/>
                <w:bCs/>
                <w:sz w:val="18"/>
                <w:szCs w:val="18"/>
              </w:rPr>
            </w:pPr>
            <w:r w:rsidRPr="00D15774">
              <w:rPr>
                <w:b/>
                <w:bCs/>
                <w:sz w:val="18"/>
                <w:szCs w:val="18"/>
              </w:rPr>
              <w:t>Drill Rigs</w:t>
            </w:r>
          </w:p>
        </w:tc>
        <w:tc>
          <w:tcPr>
            <w:tcW w:w="496" w:type="pct"/>
            <w:shd w:val="clear" w:color="auto" w:fill="E6E6E6"/>
            <w:vAlign w:val="bottom"/>
          </w:tcPr>
          <w:p w:rsidR="00521CA1" w:rsidRPr="00D15774" w:rsidRDefault="00521CA1" w:rsidP="00521CA1">
            <w:pPr>
              <w:jc w:val="center"/>
              <w:rPr>
                <w:b/>
                <w:bCs/>
                <w:sz w:val="18"/>
                <w:szCs w:val="18"/>
              </w:rPr>
            </w:pPr>
            <w:r w:rsidRPr="00D15774">
              <w:rPr>
                <w:b/>
                <w:bCs/>
                <w:sz w:val="18"/>
                <w:szCs w:val="18"/>
              </w:rPr>
              <w:t>Heaters</w:t>
            </w:r>
          </w:p>
        </w:tc>
        <w:tc>
          <w:tcPr>
            <w:tcW w:w="723" w:type="pct"/>
            <w:shd w:val="clear" w:color="auto" w:fill="E6E6E6"/>
            <w:vAlign w:val="bottom"/>
          </w:tcPr>
          <w:p w:rsidR="00521CA1" w:rsidRPr="00D15774" w:rsidRDefault="00521CA1" w:rsidP="00521CA1">
            <w:pPr>
              <w:jc w:val="center"/>
              <w:rPr>
                <w:b/>
                <w:bCs/>
                <w:sz w:val="18"/>
                <w:szCs w:val="18"/>
              </w:rPr>
            </w:pPr>
            <w:r w:rsidRPr="00D15774">
              <w:rPr>
                <w:b/>
                <w:bCs/>
                <w:sz w:val="18"/>
                <w:szCs w:val="18"/>
              </w:rPr>
              <w:t>Dehydrators</w:t>
            </w:r>
          </w:p>
        </w:tc>
        <w:tc>
          <w:tcPr>
            <w:tcW w:w="649" w:type="pct"/>
            <w:shd w:val="clear" w:color="auto" w:fill="E6E6E6"/>
            <w:vAlign w:val="bottom"/>
          </w:tcPr>
          <w:p w:rsidR="00521CA1" w:rsidRPr="00D15774" w:rsidRDefault="00521CA1" w:rsidP="00521CA1">
            <w:pPr>
              <w:jc w:val="center"/>
              <w:rPr>
                <w:b/>
                <w:bCs/>
                <w:sz w:val="18"/>
                <w:szCs w:val="18"/>
              </w:rPr>
            </w:pPr>
            <w:r w:rsidRPr="00D15774">
              <w:rPr>
                <w:b/>
                <w:bCs/>
                <w:sz w:val="18"/>
                <w:szCs w:val="18"/>
              </w:rPr>
              <w:t>Other Categories</w:t>
            </w:r>
          </w:p>
        </w:tc>
        <w:tc>
          <w:tcPr>
            <w:tcW w:w="468" w:type="pct"/>
            <w:shd w:val="clear" w:color="auto" w:fill="E6E6E6"/>
            <w:vAlign w:val="bottom"/>
          </w:tcPr>
          <w:p w:rsidR="007F197C" w:rsidRPr="00D15774" w:rsidRDefault="007F197C" w:rsidP="00521CA1">
            <w:pPr>
              <w:jc w:val="center"/>
              <w:rPr>
                <w:b/>
                <w:bCs/>
                <w:sz w:val="18"/>
                <w:szCs w:val="18"/>
              </w:rPr>
            </w:pPr>
            <w:r w:rsidRPr="00D15774">
              <w:rPr>
                <w:b/>
                <w:bCs/>
                <w:sz w:val="18"/>
                <w:szCs w:val="18"/>
              </w:rPr>
              <w:t>Grand</w:t>
            </w:r>
          </w:p>
          <w:p w:rsidR="00521CA1" w:rsidRPr="00D15774" w:rsidRDefault="00521CA1" w:rsidP="00521CA1">
            <w:pPr>
              <w:jc w:val="center"/>
              <w:rPr>
                <w:b/>
                <w:bCs/>
                <w:sz w:val="18"/>
                <w:szCs w:val="18"/>
              </w:rPr>
            </w:pPr>
            <w:r w:rsidRPr="00D15774">
              <w:rPr>
                <w:b/>
                <w:bCs/>
                <w:sz w:val="18"/>
                <w:szCs w:val="18"/>
              </w:rPr>
              <w:t>Total</w:t>
            </w:r>
          </w:p>
        </w:tc>
      </w:tr>
      <w:tr w:rsidR="00521CA1" w:rsidRPr="00D15774" w:rsidTr="00521CA1">
        <w:trPr>
          <w:trHeight w:val="255"/>
        </w:trPr>
        <w:tc>
          <w:tcPr>
            <w:tcW w:w="1536" w:type="pct"/>
            <w:shd w:val="clear" w:color="auto" w:fill="auto"/>
            <w:noWrap/>
            <w:vAlign w:val="bottom"/>
          </w:tcPr>
          <w:p w:rsidR="00521CA1" w:rsidRPr="00D15774" w:rsidRDefault="00521CA1" w:rsidP="00521CA1">
            <w:pPr>
              <w:rPr>
                <w:sz w:val="20"/>
              </w:rPr>
            </w:pPr>
            <w:r w:rsidRPr="00D15774">
              <w:rPr>
                <w:b/>
                <w:bCs/>
                <w:sz w:val="20"/>
              </w:rPr>
              <w:t>Total</w:t>
            </w:r>
            <w:r w:rsidR="007F197C" w:rsidRPr="00D15774">
              <w:rPr>
                <w:b/>
                <w:bCs/>
                <w:sz w:val="20"/>
              </w:rPr>
              <w:t xml:space="preserve"> Tons</w:t>
            </w:r>
          </w:p>
        </w:tc>
        <w:tc>
          <w:tcPr>
            <w:tcW w:w="723" w:type="pct"/>
            <w:shd w:val="clear" w:color="auto" w:fill="auto"/>
            <w:noWrap/>
            <w:vAlign w:val="bottom"/>
          </w:tcPr>
          <w:p w:rsidR="00521CA1" w:rsidRPr="00D15774" w:rsidRDefault="00521CA1" w:rsidP="00521CA1">
            <w:pPr>
              <w:jc w:val="right"/>
              <w:rPr>
                <w:color w:val="000000"/>
                <w:sz w:val="20"/>
              </w:rPr>
            </w:pPr>
            <w:r w:rsidRPr="00D15774">
              <w:rPr>
                <w:b/>
                <w:color w:val="000000"/>
                <w:sz w:val="20"/>
              </w:rPr>
              <w:t>11,674</w:t>
            </w:r>
          </w:p>
        </w:tc>
        <w:tc>
          <w:tcPr>
            <w:tcW w:w="406" w:type="pct"/>
            <w:vAlign w:val="bottom"/>
          </w:tcPr>
          <w:p w:rsidR="00521CA1" w:rsidRPr="00D15774" w:rsidRDefault="00521CA1" w:rsidP="00521CA1">
            <w:pPr>
              <w:jc w:val="right"/>
              <w:rPr>
                <w:color w:val="000000"/>
                <w:sz w:val="20"/>
              </w:rPr>
            </w:pPr>
            <w:r w:rsidRPr="00D15774">
              <w:rPr>
                <w:b/>
                <w:color w:val="000000"/>
                <w:sz w:val="20"/>
              </w:rPr>
              <w:t>5,115</w:t>
            </w:r>
          </w:p>
        </w:tc>
        <w:tc>
          <w:tcPr>
            <w:tcW w:w="496" w:type="pct"/>
            <w:shd w:val="clear" w:color="auto" w:fill="auto"/>
            <w:noWrap/>
          </w:tcPr>
          <w:p w:rsidR="00521CA1" w:rsidRPr="00D15774" w:rsidRDefault="00521CA1" w:rsidP="00521CA1">
            <w:pPr>
              <w:jc w:val="right"/>
              <w:rPr>
                <w:b/>
                <w:color w:val="000000"/>
                <w:sz w:val="20"/>
              </w:rPr>
            </w:pPr>
            <w:r w:rsidRPr="00D15774">
              <w:rPr>
                <w:b/>
                <w:sz w:val="20"/>
              </w:rPr>
              <w:t>2,722</w:t>
            </w:r>
          </w:p>
        </w:tc>
        <w:tc>
          <w:tcPr>
            <w:tcW w:w="723" w:type="pct"/>
            <w:shd w:val="clear" w:color="auto" w:fill="auto"/>
            <w:noWrap/>
            <w:vAlign w:val="bottom"/>
          </w:tcPr>
          <w:p w:rsidR="00521CA1" w:rsidRPr="00D15774" w:rsidRDefault="00521CA1" w:rsidP="007F197C">
            <w:pPr>
              <w:jc w:val="center"/>
              <w:rPr>
                <w:color w:val="000000"/>
                <w:sz w:val="20"/>
              </w:rPr>
            </w:pPr>
            <w:r w:rsidRPr="00D15774">
              <w:rPr>
                <w:b/>
                <w:color w:val="000000"/>
                <w:sz w:val="20"/>
              </w:rPr>
              <w:t>362</w:t>
            </w:r>
          </w:p>
        </w:tc>
        <w:tc>
          <w:tcPr>
            <w:tcW w:w="649" w:type="pct"/>
            <w:shd w:val="clear" w:color="auto" w:fill="auto"/>
            <w:noWrap/>
          </w:tcPr>
          <w:p w:rsidR="00521CA1" w:rsidRPr="00D15774" w:rsidRDefault="00521CA1" w:rsidP="007F197C">
            <w:pPr>
              <w:jc w:val="center"/>
              <w:rPr>
                <w:b/>
                <w:color w:val="000000"/>
                <w:sz w:val="20"/>
              </w:rPr>
            </w:pPr>
            <w:r w:rsidRPr="00D15774">
              <w:rPr>
                <w:b/>
                <w:sz w:val="20"/>
              </w:rPr>
              <w:t>1,696</w:t>
            </w:r>
          </w:p>
        </w:tc>
        <w:tc>
          <w:tcPr>
            <w:tcW w:w="468" w:type="pct"/>
            <w:vAlign w:val="bottom"/>
          </w:tcPr>
          <w:p w:rsidR="00521CA1" w:rsidRPr="00D15774" w:rsidRDefault="00521CA1" w:rsidP="00521CA1">
            <w:pPr>
              <w:jc w:val="right"/>
              <w:rPr>
                <w:b/>
                <w:color w:val="000000"/>
                <w:sz w:val="20"/>
              </w:rPr>
            </w:pPr>
            <w:r w:rsidRPr="00D15774">
              <w:rPr>
                <w:b/>
                <w:color w:val="000000"/>
                <w:sz w:val="20"/>
              </w:rPr>
              <w:t>21,569</w:t>
            </w:r>
          </w:p>
        </w:tc>
      </w:tr>
      <w:tr w:rsidR="00AD584C" w:rsidRPr="00D15774" w:rsidTr="00A84A92">
        <w:trPr>
          <w:trHeight w:val="363"/>
        </w:trPr>
        <w:tc>
          <w:tcPr>
            <w:tcW w:w="1536" w:type="pct"/>
            <w:shd w:val="clear" w:color="auto" w:fill="auto"/>
            <w:noWrap/>
            <w:vAlign w:val="bottom"/>
          </w:tcPr>
          <w:p w:rsidR="00AD584C" w:rsidRPr="00D15774" w:rsidRDefault="00AD584C" w:rsidP="00521CA1">
            <w:pPr>
              <w:rPr>
                <w:sz w:val="20"/>
              </w:rPr>
            </w:pPr>
            <w:r w:rsidRPr="00D15774">
              <w:rPr>
                <w:b/>
                <w:sz w:val="20"/>
              </w:rPr>
              <w:t>Percent of Total</w:t>
            </w:r>
          </w:p>
        </w:tc>
        <w:tc>
          <w:tcPr>
            <w:tcW w:w="723" w:type="pct"/>
            <w:shd w:val="clear" w:color="auto" w:fill="auto"/>
            <w:noWrap/>
            <w:vAlign w:val="bottom"/>
          </w:tcPr>
          <w:p w:rsidR="00AD584C" w:rsidRPr="00D15774" w:rsidRDefault="00AD584C" w:rsidP="00521CA1">
            <w:pPr>
              <w:jc w:val="right"/>
              <w:rPr>
                <w:sz w:val="20"/>
              </w:rPr>
            </w:pPr>
            <w:r w:rsidRPr="00D15774">
              <w:rPr>
                <w:b/>
                <w:sz w:val="20"/>
              </w:rPr>
              <w:t>54%</w:t>
            </w:r>
          </w:p>
        </w:tc>
        <w:tc>
          <w:tcPr>
            <w:tcW w:w="406" w:type="pct"/>
            <w:vAlign w:val="bottom"/>
          </w:tcPr>
          <w:p w:rsidR="00AD584C" w:rsidRPr="00D15774" w:rsidRDefault="00AD584C" w:rsidP="00521CA1">
            <w:pPr>
              <w:jc w:val="right"/>
              <w:rPr>
                <w:sz w:val="20"/>
              </w:rPr>
            </w:pPr>
            <w:r w:rsidRPr="00D15774">
              <w:rPr>
                <w:b/>
                <w:sz w:val="20"/>
              </w:rPr>
              <w:t>24%</w:t>
            </w:r>
          </w:p>
        </w:tc>
        <w:tc>
          <w:tcPr>
            <w:tcW w:w="496" w:type="pct"/>
            <w:shd w:val="clear" w:color="auto" w:fill="auto"/>
            <w:noWrap/>
            <w:vAlign w:val="bottom"/>
          </w:tcPr>
          <w:p w:rsidR="00AD584C" w:rsidRPr="00D15774" w:rsidRDefault="00AD584C" w:rsidP="00AD584C">
            <w:pPr>
              <w:jc w:val="right"/>
              <w:rPr>
                <w:sz w:val="20"/>
              </w:rPr>
            </w:pPr>
            <w:r w:rsidRPr="00D15774">
              <w:rPr>
                <w:b/>
                <w:sz w:val="20"/>
              </w:rPr>
              <w:t>13%</w:t>
            </w:r>
          </w:p>
        </w:tc>
        <w:tc>
          <w:tcPr>
            <w:tcW w:w="723" w:type="pct"/>
            <w:shd w:val="clear" w:color="auto" w:fill="auto"/>
            <w:noWrap/>
            <w:vAlign w:val="bottom"/>
          </w:tcPr>
          <w:p w:rsidR="00AD584C" w:rsidRPr="00D15774" w:rsidRDefault="00AD584C" w:rsidP="007F197C">
            <w:pPr>
              <w:jc w:val="center"/>
              <w:rPr>
                <w:sz w:val="20"/>
              </w:rPr>
            </w:pPr>
            <w:r w:rsidRPr="00D15774">
              <w:rPr>
                <w:b/>
                <w:sz w:val="20"/>
              </w:rPr>
              <w:t>2%</w:t>
            </w:r>
          </w:p>
        </w:tc>
        <w:tc>
          <w:tcPr>
            <w:tcW w:w="649" w:type="pct"/>
            <w:shd w:val="clear" w:color="auto" w:fill="auto"/>
            <w:noWrap/>
            <w:vAlign w:val="bottom"/>
          </w:tcPr>
          <w:p w:rsidR="00AD584C" w:rsidRPr="00D15774" w:rsidRDefault="00AD584C" w:rsidP="007F197C">
            <w:pPr>
              <w:jc w:val="center"/>
              <w:rPr>
                <w:sz w:val="20"/>
              </w:rPr>
            </w:pPr>
            <w:r w:rsidRPr="00D15774">
              <w:rPr>
                <w:b/>
                <w:sz w:val="20"/>
              </w:rPr>
              <w:t>8%</w:t>
            </w:r>
          </w:p>
        </w:tc>
        <w:tc>
          <w:tcPr>
            <w:tcW w:w="468" w:type="pct"/>
            <w:vAlign w:val="bottom"/>
          </w:tcPr>
          <w:p w:rsidR="00AD584C" w:rsidRPr="00D15774" w:rsidRDefault="00AD584C" w:rsidP="00521CA1">
            <w:pPr>
              <w:jc w:val="right"/>
              <w:rPr>
                <w:b/>
                <w:sz w:val="20"/>
              </w:rPr>
            </w:pPr>
            <w:r w:rsidRPr="00D15774">
              <w:rPr>
                <w:b/>
                <w:sz w:val="20"/>
              </w:rPr>
              <w:t>100%</w:t>
            </w:r>
          </w:p>
        </w:tc>
      </w:tr>
      <w:tr w:rsidR="003305EC" w:rsidRPr="00D15774" w:rsidTr="00A84A92">
        <w:trPr>
          <w:trHeight w:hRule="exact" w:val="144"/>
        </w:trPr>
        <w:tc>
          <w:tcPr>
            <w:tcW w:w="1536" w:type="pct"/>
            <w:tcBorders>
              <w:bottom w:val="double" w:sz="4" w:space="0" w:color="auto"/>
            </w:tcBorders>
            <w:shd w:val="clear" w:color="auto" w:fill="000000" w:themeFill="text1"/>
            <w:noWrap/>
            <w:vAlign w:val="bottom"/>
          </w:tcPr>
          <w:p w:rsidR="003305EC" w:rsidRPr="00D15774" w:rsidRDefault="003305EC" w:rsidP="00521CA1">
            <w:pPr>
              <w:rPr>
                <w:b/>
                <w:sz w:val="20"/>
              </w:rPr>
            </w:pPr>
          </w:p>
        </w:tc>
        <w:tc>
          <w:tcPr>
            <w:tcW w:w="723" w:type="pct"/>
            <w:tcBorders>
              <w:bottom w:val="double" w:sz="4" w:space="0" w:color="auto"/>
            </w:tcBorders>
            <w:shd w:val="clear" w:color="auto" w:fill="000000" w:themeFill="text1"/>
            <w:noWrap/>
            <w:vAlign w:val="bottom"/>
          </w:tcPr>
          <w:p w:rsidR="003305EC" w:rsidRPr="00D15774" w:rsidRDefault="003305EC" w:rsidP="00521CA1">
            <w:pPr>
              <w:jc w:val="right"/>
              <w:rPr>
                <w:b/>
                <w:sz w:val="20"/>
              </w:rPr>
            </w:pPr>
          </w:p>
        </w:tc>
        <w:tc>
          <w:tcPr>
            <w:tcW w:w="406" w:type="pct"/>
            <w:tcBorders>
              <w:bottom w:val="double" w:sz="4" w:space="0" w:color="auto"/>
            </w:tcBorders>
            <w:shd w:val="clear" w:color="auto" w:fill="000000" w:themeFill="text1"/>
            <w:vAlign w:val="bottom"/>
          </w:tcPr>
          <w:p w:rsidR="003305EC" w:rsidRPr="00D15774" w:rsidRDefault="003305EC" w:rsidP="00521CA1">
            <w:pPr>
              <w:jc w:val="right"/>
              <w:rPr>
                <w:b/>
                <w:sz w:val="20"/>
              </w:rPr>
            </w:pPr>
          </w:p>
        </w:tc>
        <w:tc>
          <w:tcPr>
            <w:tcW w:w="496" w:type="pct"/>
            <w:tcBorders>
              <w:bottom w:val="double" w:sz="4" w:space="0" w:color="auto"/>
            </w:tcBorders>
            <w:shd w:val="clear" w:color="auto" w:fill="000000" w:themeFill="text1"/>
            <w:noWrap/>
            <w:vAlign w:val="bottom"/>
          </w:tcPr>
          <w:p w:rsidR="003305EC" w:rsidRPr="00D15774" w:rsidRDefault="003305EC" w:rsidP="00AD584C">
            <w:pPr>
              <w:jc w:val="right"/>
              <w:rPr>
                <w:b/>
                <w:sz w:val="20"/>
              </w:rPr>
            </w:pPr>
          </w:p>
        </w:tc>
        <w:tc>
          <w:tcPr>
            <w:tcW w:w="723" w:type="pct"/>
            <w:tcBorders>
              <w:bottom w:val="double" w:sz="4" w:space="0" w:color="auto"/>
            </w:tcBorders>
            <w:shd w:val="clear" w:color="auto" w:fill="000000" w:themeFill="text1"/>
            <w:noWrap/>
            <w:vAlign w:val="bottom"/>
          </w:tcPr>
          <w:p w:rsidR="003305EC" w:rsidRPr="00D15774" w:rsidRDefault="003305EC" w:rsidP="007F197C">
            <w:pPr>
              <w:jc w:val="center"/>
              <w:rPr>
                <w:b/>
                <w:sz w:val="20"/>
              </w:rPr>
            </w:pPr>
          </w:p>
        </w:tc>
        <w:tc>
          <w:tcPr>
            <w:tcW w:w="649" w:type="pct"/>
            <w:tcBorders>
              <w:bottom w:val="double" w:sz="4" w:space="0" w:color="auto"/>
            </w:tcBorders>
            <w:shd w:val="clear" w:color="auto" w:fill="000000" w:themeFill="text1"/>
            <w:noWrap/>
            <w:vAlign w:val="bottom"/>
          </w:tcPr>
          <w:p w:rsidR="003305EC" w:rsidRPr="00D15774" w:rsidRDefault="003305EC" w:rsidP="007F197C">
            <w:pPr>
              <w:jc w:val="center"/>
              <w:rPr>
                <w:b/>
                <w:sz w:val="20"/>
              </w:rPr>
            </w:pPr>
          </w:p>
        </w:tc>
        <w:tc>
          <w:tcPr>
            <w:tcW w:w="468" w:type="pct"/>
            <w:tcBorders>
              <w:bottom w:val="double" w:sz="4" w:space="0" w:color="auto"/>
            </w:tcBorders>
            <w:shd w:val="clear" w:color="auto" w:fill="000000" w:themeFill="text1"/>
            <w:vAlign w:val="bottom"/>
          </w:tcPr>
          <w:p w:rsidR="003305EC" w:rsidRPr="00D15774" w:rsidRDefault="003305EC" w:rsidP="00521CA1">
            <w:pPr>
              <w:jc w:val="right"/>
              <w:rPr>
                <w:b/>
                <w:sz w:val="20"/>
              </w:rPr>
            </w:pPr>
          </w:p>
        </w:tc>
      </w:tr>
      <w:tr w:rsidR="00A84A92" w:rsidRPr="00D15774" w:rsidTr="00A84A92">
        <w:trPr>
          <w:trHeight w:val="363"/>
        </w:trPr>
        <w:tc>
          <w:tcPr>
            <w:tcW w:w="1536" w:type="pct"/>
            <w:tcBorders>
              <w:top w:val="double" w:sz="4" w:space="0" w:color="auto"/>
            </w:tcBorders>
            <w:shd w:val="clear" w:color="auto" w:fill="auto"/>
            <w:noWrap/>
            <w:vAlign w:val="bottom"/>
          </w:tcPr>
          <w:p w:rsidR="00A84A92" w:rsidRPr="00D15774" w:rsidRDefault="00A84A92" w:rsidP="00A84A92">
            <w:pPr>
              <w:rPr>
                <w:b/>
                <w:color w:val="000000" w:themeColor="text1"/>
                <w:sz w:val="20"/>
              </w:rPr>
            </w:pPr>
            <w:r w:rsidRPr="00D15774">
              <w:rPr>
                <w:b/>
                <w:color w:val="000000" w:themeColor="text1"/>
                <w:sz w:val="20"/>
              </w:rPr>
              <w:t>Total JPAD</w:t>
            </w:r>
          </w:p>
        </w:tc>
        <w:tc>
          <w:tcPr>
            <w:tcW w:w="723" w:type="pct"/>
            <w:tcBorders>
              <w:top w:val="double" w:sz="4" w:space="0" w:color="auto"/>
            </w:tcBorders>
            <w:shd w:val="clear" w:color="auto" w:fill="auto"/>
            <w:noWrap/>
            <w:vAlign w:val="bottom"/>
          </w:tcPr>
          <w:p w:rsidR="00A84A92" w:rsidRPr="00D15774" w:rsidRDefault="00A84A92" w:rsidP="00A84A92">
            <w:pPr>
              <w:jc w:val="right"/>
              <w:rPr>
                <w:b/>
                <w:color w:val="000000" w:themeColor="text1"/>
                <w:sz w:val="20"/>
              </w:rPr>
            </w:pPr>
            <w:r w:rsidRPr="00D15774">
              <w:rPr>
                <w:b/>
                <w:color w:val="000000" w:themeColor="text1"/>
                <w:sz w:val="20"/>
              </w:rPr>
              <w:t>296</w:t>
            </w:r>
          </w:p>
        </w:tc>
        <w:tc>
          <w:tcPr>
            <w:tcW w:w="406" w:type="pct"/>
            <w:tcBorders>
              <w:top w:val="double" w:sz="4" w:space="0" w:color="auto"/>
            </w:tcBorders>
            <w:vAlign w:val="bottom"/>
          </w:tcPr>
          <w:p w:rsidR="00A84A92" w:rsidRPr="00D15774" w:rsidRDefault="00A84A92" w:rsidP="00A84A92">
            <w:pPr>
              <w:jc w:val="right"/>
              <w:rPr>
                <w:b/>
                <w:color w:val="000000" w:themeColor="text1"/>
                <w:sz w:val="20"/>
              </w:rPr>
            </w:pPr>
            <w:r w:rsidRPr="00D15774">
              <w:rPr>
                <w:b/>
                <w:color w:val="000000" w:themeColor="text1"/>
                <w:sz w:val="20"/>
              </w:rPr>
              <w:t>3,289</w:t>
            </w:r>
          </w:p>
        </w:tc>
        <w:tc>
          <w:tcPr>
            <w:tcW w:w="496" w:type="pct"/>
            <w:tcBorders>
              <w:top w:val="double" w:sz="4" w:space="0" w:color="auto"/>
            </w:tcBorders>
            <w:shd w:val="clear" w:color="auto" w:fill="auto"/>
            <w:noWrap/>
            <w:vAlign w:val="bottom"/>
          </w:tcPr>
          <w:p w:rsidR="00A84A92" w:rsidRPr="00D15774" w:rsidRDefault="00A84A92" w:rsidP="00A84A92">
            <w:pPr>
              <w:jc w:val="right"/>
              <w:rPr>
                <w:b/>
                <w:color w:val="000000" w:themeColor="text1"/>
                <w:sz w:val="20"/>
              </w:rPr>
            </w:pPr>
            <w:r w:rsidRPr="00D15774">
              <w:rPr>
                <w:b/>
                <w:color w:val="000000" w:themeColor="text1"/>
                <w:sz w:val="20"/>
              </w:rPr>
              <w:t>378</w:t>
            </w:r>
          </w:p>
        </w:tc>
        <w:tc>
          <w:tcPr>
            <w:tcW w:w="723" w:type="pct"/>
            <w:tcBorders>
              <w:top w:val="double" w:sz="4" w:space="0" w:color="auto"/>
            </w:tcBorders>
            <w:shd w:val="clear" w:color="auto" w:fill="auto"/>
            <w:noWrap/>
            <w:vAlign w:val="bottom"/>
          </w:tcPr>
          <w:p w:rsidR="00A84A92" w:rsidRPr="00D15774" w:rsidRDefault="00A84A92" w:rsidP="00A84A92">
            <w:pPr>
              <w:jc w:val="right"/>
              <w:rPr>
                <w:b/>
                <w:color w:val="000000" w:themeColor="text1"/>
                <w:sz w:val="20"/>
              </w:rPr>
            </w:pPr>
            <w:r w:rsidRPr="00D15774">
              <w:rPr>
                <w:b/>
                <w:color w:val="000000" w:themeColor="text1"/>
                <w:sz w:val="20"/>
              </w:rPr>
              <w:t>88</w:t>
            </w:r>
          </w:p>
        </w:tc>
        <w:tc>
          <w:tcPr>
            <w:tcW w:w="649" w:type="pct"/>
            <w:tcBorders>
              <w:top w:val="double" w:sz="4" w:space="0" w:color="auto"/>
            </w:tcBorders>
            <w:shd w:val="clear" w:color="auto" w:fill="auto"/>
            <w:noWrap/>
            <w:vAlign w:val="bottom"/>
          </w:tcPr>
          <w:p w:rsidR="00A84A92" w:rsidRPr="00D15774" w:rsidRDefault="00A84A92" w:rsidP="00A84A92">
            <w:pPr>
              <w:jc w:val="right"/>
              <w:rPr>
                <w:b/>
                <w:color w:val="000000" w:themeColor="text1"/>
                <w:sz w:val="20"/>
              </w:rPr>
            </w:pPr>
            <w:r w:rsidRPr="00D15774">
              <w:rPr>
                <w:b/>
                <w:color w:val="000000" w:themeColor="text1"/>
                <w:sz w:val="20"/>
              </w:rPr>
              <w:t>479</w:t>
            </w:r>
          </w:p>
        </w:tc>
        <w:tc>
          <w:tcPr>
            <w:tcW w:w="468" w:type="pct"/>
            <w:tcBorders>
              <w:top w:val="double" w:sz="4" w:space="0" w:color="auto"/>
            </w:tcBorders>
            <w:vAlign w:val="bottom"/>
          </w:tcPr>
          <w:p w:rsidR="00A84A92" w:rsidRPr="00D15774" w:rsidRDefault="00A84A92" w:rsidP="00A84A92">
            <w:pPr>
              <w:jc w:val="right"/>
              <w:rPr>
                <w:b/>
                <w:color w:val="000000" w:themeColor="text1"/>
                <w:sz w:val="20"/>
              </w:rPr>
            </w:pPr>
            <w:r w:rsidRPr="00D15774">
              <w:rPr>
                <w:b/>
                <w:color w:val="000000" w:themeColor="text1"/>
                <w:sz w:val="20"/>
              </w:rPr>
              <w:t>4,531</w:t>
            </w:r>
          </w:p>
        </w:tc>
      </w:tr>
      <w:tr w:rsidR="00A84A92" w:rsidRPr="00D15774" w:rsidTr="00AD584C">
        <w:trPr>
          <w:trHeight w:val="363"/>
        </w:trPr>
        <w:tc>
          <w:tcPr>
            <w:tcW w:w="1536" w:type="pct"/>
            <w:shd w:val="clear" w:color="auto" w:fill="auto"/>
            <w:noWrap/>
            <w:vAlign w:val="bottom"/>
          </w:tcPr>
          <w:p w:rsidR="00A84A92" w:rsidRPr="00D15774" w:rsidRDefault="00A84A92" w:rsidP="00A84A92">
            <w:pPr>
              <w:rPr>
                <w:b/>
                <w:color w:val="000000" w:themeColor="text1"/>
                <w:sz w:val="20"/>
              </w:rPr>
            </w:pPr>
            <w:r w:rsidRPr="00D15774">
              <w:rPr>
                <w:b/>
                <w:color w:val="000000" w:themeColor="text1"/>
                <w:sz w:val="20"/>
              </w:rPr>
              <w:t xml:space="preserve">Total Non-JPAD </w:t>
            </w:r>
          </w:p>
        </w:tc>
        <w:tc>
          <w:tcPr>
            <w:tcW w:w="723" w:type="pct"/>
            <w:shd w:val="clear" w:color="auto" w:fill="auto"/>
            <w:noWrap/>
            <w:vAlign w:val="bottom"/>
          </w:tcPr>
          <w:p w:rsidR="00A84A92" w:rsidRPr="00D15774" w:rsidRDefault="00A84A92" w:rsidP="00A84A92">
            <w:pPr>
              <w:jc w:val="right"/>
              <w:rPr>
                <w:b/>
                <w:color w:val="000000" w:themeColor="text1"/>
                <w:sz w:val="20"/>
              </w:rPr>
            </w:pPr>
            <w:r w:rsidRPr="00D15774">
              <w:rPr>
                <w:b/>
                <w:color w:val="000000" w:themeColor="text1"/>
                <w:sz w:val="20"/>
              </w:rPr>
              <w:t>11,378</w:t>
            </w:r>
          </w:p>
        </w:tc>
        <w:tc>
          <w:tcPr>
            <w:tcW w:w="406" w:type="pct"/>
            <w:vAlign w:val="bottom"/>
          </w:tcPr>
          <w:p w:rsidR="00A84A92" w:rsidRPr="00D15774" w:rsidRDefault="00A84A92" w:rsidP="00A84A92">
            <w:pPr>
              <w:jc w:val="right"/>
              <w:rPr>
                <w:b/>
                <w:color w:val="000000" w:themeColor="text1"/>
                <w:sz w:val="20"/>
              </w:rPr>
            </w:pPr>
            <w:r w:rsidRPr="00D15774">
              <w:rPr>
                <w:b/>
                <w:color w:val="000000" w:themeColor="text1"/>
                <w:sz w:val="20"/>
              </w:rPr>
              <w:t>1,826</w:t>
            </w:r>
          </w:p>
        </w:tc>
        <w:tc>
          <w:tcPr>
            <w:tcW w:w="496" w:type="pct"/>
            <w:shd w:val="clear" w:color="auto" w:fill="auto"/>
            <w:noWrap/>
            <w:vAlign w:val="bottom"/>
          </w:tcPr>
          <w:p w:rsidR="00A84A92" w:rsidRPr="00D15774" w:rsidRDefault="00A84A92" w:rsidP="00A84A92">
            <w:pPr>
              <w:jc w:val="right"/>
              <w:rPr>
                <w:b/>
                <w:color w:val="000000" w:themeColor="text1"/>
                <w:sz w:val="20"/>
              </w:rPr>
            </w:pPr>
            <w:r w:rsidRPr="00D15774">
              <w:rPr>
                <w:b/>
                <w:color w:val="000000" w:themeColor="text1"/>
                <w:sz w:val="20"/>
              </w:rPr>
              <w:t>2,344</w:t>
            </w:r>
          </w:p>
        </w:tc>
        <w:tc>
          <w:tcPr>
            <w:tcW w:w="723" w:type="pct"/>
            <w:shd w:val="clear" w:color="auto" w:fill="auto"/>
            <w:noWrap/>
            <w:vAlign w:val="bottom"/>
          </w:tcPr>
          <w:p w:rsidR="00A84A92" w:rsidRPr="00D15774" w:rsidRDefault="00A84A92" w:rsidP="00A84A92">
            <w:pPr>
              <w:jc w:val="right"/>
              <w:rPr>
                <w:b/>
                <w:color w:val="000000" w:themeColor="text1"/>
                <w:sz w:val="20"/>
              </w:rPr>
            </w:pPr>
            <w:r w:rsidRPr="00D15774">
              <w:rPr>
                <w:b/>
                <w:color w:val="000000" w:themeColor="text1"/>
                <w:sz w:val="20"/>
              </w:rPr>
              <w:t>274</w:t>
            </w:r>
          </w:p>
        </w:tc>
        <w:tc>
          <w:tcPr>
            <w:tcW w:w="649" w:type="pct"/>
            <w:shd w:val="clear" w:color="auto" w:fill="auto"/>
            <w:noWrap/>
            <w:vAlign w:val="bottom"/>
          </w:tcPr>
          <w:p w:rsidR="00A84A92" w:rsidRPr="00D15774" w:rsidRDefault="00A84A92" w:rsidP="00A84A92">
            <w:pPr>
              <w:jc w:val="right"/>
              <w:rPr>
                <w:b/>
                <w:color w:val="000000" w:themeColor="text1"/>
                <w:sz w:val="20"/>
              </w:rPr>
            </w:pPr>
            <w:r w:rsidRPr="00D15774">
              <w:rPr>
                <w:b/>
                <w:color w:val="000000" w:themeColor="text1"/>
                <w:sz w:val="20"/>
              </w:rPr>
              <w:t>1,217</w:t>
            </w:r>
          </w:p>
        </w:tc>
        <w:tc>
          <w:tcPr>
            <w:tcW w:w="468" w:type="pct"/>
            <w:vAlign w:val="bottom"/>
          </w:tcPr>
          <w:p w:rsidR="00A84A92" w:rsidRPr="00D15774" w:rsidRDefault="00A84A92" w:rsidP="00A84A92">
            <w:pPr>
              <w:jc w:val="right"/>
              <w:rPr>
                <w:b/>
                <w:color w:val="000000" w:themeColor="text1"/>
                <w:sz w:val="20"/>
              </w:rPr>
            </w:pPr>
            <w:r w:rsidRPr="00D15774">
              <w:rPr>
                <w:b/>
                <w:color w:val="000000" w:themeColor="text1"/>
                <w:sz w:val="20"/>
              </w:rPr>
              <w:t>17,038</w:t>
            </w:r>
          </w:p>
        </w:tc>
      </w:tr>
    </w:tbl>
    <w:p w:rsidR="00521CA1" w:rsidRPr="00D15774" w:rsidRDefault="00521CA1" w:rsidP="00521CA1"/>
    <w:p w:rsidR="00521CA1" w:rsidRPr="00D15774" w:rsidRDefault="00521CA1" w:rsidP="00521CA1">
      <w:pPr>
        <w:pStyle w:val="Table"/>
        <w:rPr>
          <w:rFonts w:ascii="Times New Roman" w:hAnsi="Times New Roman"/>
        </w:rPr>
        <w:sectPr w:rsidR="00521CA1" w:rsidRPr="00D15774" w:rsidSect="00521CA1">
          <w:footerReference w:type="first" r:id="rId54"/>
          <w:type w:val="continuous"/>
          <w:pgSz w:w="12240" w:h="15840" w:code="1"/>
          <w:pgMar w:top="360" w:right="1440" w:bottom="720" w:left="1440" w:header="360" w:footer="360" w:gutter="0"/>
          <w:cols w:space="720"/>
          <w:titlePg/>
          <w:docGrid w:linePitch="360"/>
        </w:sectPr>
      </w:pPr>
      <w:bookmarkStart w:id="128" w:name="_Toc267302925"/>
    </w:p>
    <w:bookmarkEnd w:id="128"/>
    <w:p w:rsidR="00BF6DB9" w:rsidRPr="00D15774" w:rsidRDefault="00BF6DB9" w:rsidP="00BF6D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lastRenderedPageBreak/>
        <w:t xml:space="preserve">In the </w:t>
      </w:r>
      <w:r w:rsidR="00AD584C" w:rsidRPr="00D15774">
        <w:t xml:space="preserve">SW Wyoming Green </w:t>
      </w:r>
      <w:r w:rsidRPr="00D15774">
        <w:t xml:space="preserve">River Basin compressors are the largest </w:t>
      </w:r>
      <w:r w:rsidR="0015424B" w:rsidRPr="00D15774">
        <w:t xml:space="preserve">NOx </w:t>
      </w:r>
      <w:r w:rsidRPr="00D15774">
        <w:t xml:space="preserve">source category in 2006, with </w:t>
      </w:r>
      <w:r w:rsidR="00AD584C" w:rsidRPr="00D15774">
        <w:t xml:space="preserve">more than half </w:t>
      </w:r>
      <w:r w:rsidR="0015424B" w:rsidRPr="00D15774">
        <w:t xml:space="preserve">(54%) of the </w:t>
      </w:r>
      <w:r w:rsidRPr="00D15774">
        <w:t>emissions.  This is followed by 2</w:t>
      </w:r>
      <w:r w:rsidR="00AD584C" w:rsidRPr="00D15774">
        <w:t>4</w:t>
      </w:r>
      <w:r w:rsidRPr="00D15774">
        <w:t xml:space="preserve">% from drill rigs and </w:t>
      </w:r>
      <w:r w:rsidR="00AD584C" w:rsidRPr="00D15774">
        <w:t>13</w:t>
      </w:r>
      <w:r w:rsidRPr="00D15774">
        <w:t>% from gas fired heaters.</w:t>
      </w:r>
    </w:p>
    <w:p w:rsidR="00BF6DB9" w:rsidRPr="00D15774" w:rsidRDefault="00BF6DB9" w:rsidP="00BF6D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BF6DB9" w:rsidRPr="00D15774" w:rsidRDefault="000A51FE" w:rsidP="00BF6D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NOx is not covered by the new federal NSPS Subpart OOOO, therefore these emission rates should not be affected by that action.  </w:t>
      </w:r>
      <w:r w:rsidR="003E7EF1" w:rsidRPr="00D15774">
        <w:t>And s</w:t>
      </w:r>
      <w:r w:rsidR="00D479E0" w:rsidRPr="00D15774">
        <w:t xml:space="preserve">ince there are no Indian Lands in the SW Wyoming (Greater Green River) Basin, the new </w:t>
      </w:r>
      <w:r w:rsidR="00A84A92" w:rsidRPr="00D15774">
        <w:t xml:space="preserve">Federal regulation for </w:t>
      </w:r>
      <w:r w:rsidR="001435A6" w:rsidRPr="00D15774">
        <w:t>“</w:t>
      </w:r>
      <w:r w:rsidR="00D479E0" w:rsidRPr="00D15774">
        <w:t xml:space="preserve">Permitting of Minor sources on Indian </w:t>
      </w:r>
      <w:r w:rsidR="00322C4F" w:rsidRPr="00D15774">
        <w:t>Lands</w:t>
      </w:r>
      <w:r w:rsidR="001435A6" w:rsidRPr="00D15774">
        <w:t>”</w:t>
      </w:r>
      <w:r w:rsidR="00322C4F" w:rsidRPr="00D15774">
        <w:t xml:space="preserve"> </w:t>
      </w:r>
      <w:r w:rsidR="00D479E0" w:rsidRPr="00D15774">
        <w:t xml:space="preserve">will have no effect on the </w:t>
      </w:r>
      <w:r w:rsidR="0015424B" w:rsidRPr="00D15774">
        <w:t xml:space="preserve">future </w:t>
      </w:r>
      <w:r w:rsidR="00D479E0" w:rsidRPr="00D15774">
        <w:t xml:space="preserve">emissions in this area either.  Thus the overall effect of the </w:t>
      </w:r>
      <w:r w:rsidR="00A84A92" w:rsidRPr="00D15774">
        <w:t xml:space="preserve">new </w:t>
      </w:r>
      <w:r w:rsidR="0015424B" w:rsidRPr="00D15774">
        <w:t xml:space="preserve">federal </w:t>
      </w:r>
      <w:r w:rsidR="00D479E0" w:rsidRPr="00D15774">
        <w:t xml:space="preserve">regulations </w:t>
      </w:r>
      <w:r w:rsidR="00261CEE" w:rsidRPr="00D15774">
        <w:t xml:space="preserve">on future emission inventories </w:t>
      </w:r>
      <w:r w:rsidR="00D479E0" w:rsidRPr="00D15774">
        <w:t>is likely to be negligible in terms of NOx totals from the SW Wyoming (Greater Green River) Basin.</w:t>
      </w:r>
    </w:p>
    <w:p w:rsidR="000A51FE" w:rsidRPr="00D15774" w:rsidRDefault="000A51FE" w:rsidP="00BF6D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A51FE" w:rsidRPr="00D15774" w:rsidRDefault="000A51FE" w:rsidP="000A51FE">
      <w:pPr>
        <w:widowControl w:val="0"/>
        <w:spacing w:line="300" w:lineRule="auto"/>
      </w:pPr>
      <w:r w:rsidRPr="00D15774">
        <w:rPr>
          <w:szCs w:val="24"/>
          <w:lang w:val="en-CA"/>
        </w:rPr>
        <w:t>Regarding the 24% of NOx from Nonroad Mobile drill/workover rig engines, the federal</w:t>
      </w:r>
      <w:r w:rsidRPr="00D15774">
        <w:rPr>
          <w:color w:val="000000"/>
          <w:szCs w:val="24"/>
        </w:rPr>
        <w:t xml:space="preserve"> Tier Standards take precedence and should be already accounted for in this inventory.  But Wyoming does have an “Interim Policy” for their Upper Green River Basin ozone non-attainment area however, which allows operators to voluntarily permit temporary drill/workover rig engines in return for receiving future emission credits.  Wyoming AQD does conduct a BACT review of emissions on such permits, thus it is possible that emissions of temporary engines could be restricted to something under Federal Nonroad Mobile emission standards in such voluntary permitting actions.</w:t>
      </w:r>
    </w:p>
    <w:p w:rsidR="00BF6DB9" w:rsidRPr="00D15774" w:rsidRDefault="00BF6DB9" w:rsidP="00BF6D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217823" w:rsidRPr="00D15774" w:rsidRDefault="00BF6DB9" w:rsidP="00D479E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Table </w:t>
      </w:r>
      <w:r w:rsidR="00761A2D" w:rsidRPr="00D15774">
        <w:t>20</w:t>
      </w:r>
      <w:r w:rsidRPr="00D15774">
        <w:t xml:space="preserve"> contains a listing of the </w:t>
      </w:r>
      <w:r w:rsidR="00CB2273" w:rsidRPr="00D15774">
        <w:t>Green</w:t>
      </w:r>
      <w:r w:rsidRPr="00D15774">
        <w:t xml:space="preserve"> River Basin VOC emissions from ENVIRON’s above cited </w:t>
      </w:r>
      <w:r w:rsidR="00CB2273" w:rsidRPr="00D15774">
        <w:t>November 27</w:t>
      </w:r>
      <w:r w:rsidRPr="00D15774">
        <w:t>, 201</w:t>
      </w:r>
      <w:r w:rsidR="00CB2273" w:rsidRPr="00D15774">
        <w:t>2</w:t>
      </w:r>
      <w:r w:rsidRPr="00D15774">
        <w:t xml:space="preserve"> Technical Memo.</w:t>
      </w:r>
    </w:p>
    <w:p w:rsidR="00D479E0" w:rsidRPr="00D15774" w:rsidRDefault="00D479E0" w:rsidP="00D479E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3E7EF1" w:rsidRPr="00C47C14" w:rsidRDefault="005B5F48" w:rsidP="00C47C14">
      <w:pPr>
        <w:pStyle w:val="Heading4"/>
        <w:jc w:val="center"/>
        <w:rPr>
          <w:rFonts w:ascii="Times New Roman" w:hAnsi="Times New Roman" w:cs="Times New Roman"/>
          <w:i w:val="0"/>
          <w:color w:val="auto"/>
        </w:rPr>
      </w:pPr>
      <w:bookmarkStart w:id="129" w:name="_Toc369087044"/>
      <w:r w:rsidRPr="00C47C14">
        <w:rPr>
          <w:rStyle w:val="FigureChar"/>
          <w:rFonts w:ascii="Times New Roman" w:hAnsi="Times New Roman" w:cs="Times New Roman"/>
          <w:b/>
          <w:i w:val="0"/>
          <w:color w:val="auto"/>
          <w:sz w:val="24"/>
        </w:rPr>
        <w:t xml:space="preserve">Table </w:t>
      </w:r>
      <w:r w:rsidR="00761A2D" w:rsidRPr="00C47C14">
        <w:rPr>
          <w:rStyle w:val="FigureChar"/>
          <w:rFonts w:ascii="Times New Roman" w:hAnsi="Times New Roman" w:cs="Times New Roman"/>
          <w:b/>
          <w:i w:val="0"/>
          <w:color w:val="auto"/>
          <w:sz w:val="24"/>
        </w:rPr>
        <w:t>20</w:t>
      </w:r>
      <w:r w:rsidRPr="00C47C14">
        <w:rPr>
          <w:rStyle w:val="FigureChar"/>
          <w:rFonts w:ascii="Times New Roman" w:hAnsi="Times New Roman" w:cs="Times New Roman"/>
          <w:b/>
          <w:i w:val="0"/>
          <w:color w:val="auto"/>
          <w:sz w:val="24"/>
        </w:rPr>
        <w:t xml:space="preserve">: </w:t>
      </w:r>
      <w:r w:rsidR="00A00DFF" w:rsidRPr="00C47C14">
        <w:rPr>
          <w:rStyle w:val="FigureChar"/>
          <w:rFonts w:ascii="Times New Roman" w:hAnsi="Times New Roman" w:cs="Times New Roman"/>
          <w:b/>
          <w:i w:val="0"/>
          <w:color w:val="auto"/>
          <w:sz w:val="24"/>
        </w:rPr>
        <w:t>SW</w:t>
      </w:r>
      <w:r w:rsidRPr="00C47C14">
        <w:rPr>
          <w:rStyle w:val="FigureChar"/>
          <w:rFonts w:ascii="Times New Roman" w:hAnsi="Times New Roman" w:cs="Times New Roman"/>
          <w:b/>
          <w:i w:val="0"/>
          <w:color w:val="auto"/>
          <w:sz w:val="24"/>
        </w:rPr>
        <w:t xml:space="preserve"> </w:t>
      </w:r>
      <w:r w:rsidR="00A00DFF" w:rsidRPr="00C47C14">
        <w:rPr>
          <w:rStyle w:val="FigureChar"/>
          <w:rFonts w:ascii="Times New Roman" w:hAnsi="Times New Roman" w:cs="Times New Roman"/>
          <w:b/>
          <w:i w:val="0"/>
          <w:color w:val="auto"/>
          <w:sz w:val="24"/>
        </w:rPr>
        <w:t>Wyoming</w:t>
      </w:r>
      <w:r w:rsidRPr="00C47C14">
        <w:rPr>
          <w:rStyle w:val="FigureChar"/>
          <w:rFonts w:ascii="Times New Roman" w:hAnsi="Times New Roman" w:cs="Times New Roman"/>
          <w:b/>
          <w:i w:val="0"/>
          <w:color w:val="auto"/>
          <w:sz w:val="24"/>
        </w:rPr>
        <w:t xml:space="preserve"> Basin 2006 VOC Emission Sources (tpy)</w:t>
      </w:r>
      <w:bookmarkEnd w:id="129"/>
      <w:r w:rsidRPr="00C47C14">
        <w:rPr>
          <w:rFonts w:ascii="Times New Roman" w:hAnsi="Times New Roman" w:cs="Times New Roman"/>
          <w:i w:val="0"/>
          <w:color w:val="auto"/>
        </w:rPr>
        <w:fldChar w:fldCharType="begin"/>
      </w:r>
      <w:r w:rsidRPr="00C47C14">
        <w:rPr>
          <w:rStyle w:val="FigureChar"/>
          <w:rFonts w:ascii="Times New Roman" w:hAnsi="Times New Roman" w:cs="Times New Roman"/>
          <w:b/>
          <w:i w:val="0"/>
          <w:color w:val="auto"/>
          <w:sz w:val="24"/>
        </w:rPr>
        <w:instrText xml:space="preserve"> TC \l4 "</w:instrText>
      </w:r>
      <w:bookmarkStart w:id="130" w:name="_Toc363192368"/>
      <w:r w:rsidRPr="00C47C14">
        <w:rPr>
          <w:rStyle w:val="FigureChar"/>
          <w:rFonts w:ascii="Times New Roman" w:hAnsi="Times New Roman" w:cs="Times New Roman"/>
          <w:b/>
          <w:i w:val="0"/>
          <w:color w:val="auto"/>
          <w:sz w:val="24"/>
        </w:rPr>
        <w:instrText>Table 1</w:instrText>
      </w:r>
      <w:r w:rsidR="00A00DFF" w:rsidRPr="00C47C14">
        <w:rPr>
          <w:rStyle w:val="FigureChar"/>
          <w:rFonts w:ascii="Times New Roman" w:hAnsi="Times New Roman" w:cs="Times New Roman"/>
          <w:b/>
          <w:i w:val="0"/>
          <w:color w:val="auto"/>
          <w:sz w:val="24"/>
        </w:rPr>
        <w:instrText>8</w:instrText>
      </w:r>
      <w:r w:rsidRPr="00C47C14">
        <w:rPr>
          <w:rStyle w:val="FigureChar"/>
          <w:rFonts w:ascii="Times New Roman" w:hAnsi="Times New Roman" w:cs="Times New Roman"/>
          <w:b/>
          <w:i w:val="0"/>
          <w:color w:val="auto"/>
          <w:sz w:val="24"/>
        </w:rPr>
        <w:instrText xml:space="preserve">: </w:instrText>
      </w:r>
      <w:r w:rsidR="00A00DFF" w:rsidRPr="00C47C14">
        <w:rPr>
          <w:rStyle w:val="FigureChar"/>
          <w:rFonts w:ascii="Times New Roman" w:hAnsi="Times New Roman" w:cs="Times New Roman"/>
          <w:b/>
          <w:i w:val="0"/>
          <w:color w:val="auto"/>
          <w:sz w:val="24"/>
        </w:rPr>
        <w:instrText>SW</w:instrText>
      </w:r>
      <w:r w:rsidRPr="00C47C14">
        <w:rPr>
          <w:rStyle w:val="FigureChar"/>
          <w:rFonts w:ascii="Times New Roman" w:hAnsi="Times New Roman" w:cs="Times New Roman"/>
          <w:b/>
          <w:i w:val="0"/>
          <w:color w:val="auto"/>
          <w:sz w:val="24"/>
        </w:rPr>
        <w:instrText xml:space="preserve"> </w:instrText>
      </w:r>
      <w:r w:rsidR="00A00DFF" w:rsidRPr="00C47C14">
        <w:rPr>
          <w:rStyle w:val="FigureChar"/>
          <w:rFonts w:ascii="Times New Roman" w:hAnsi="Times New Roman" w:cs="Times New Roman"/>
          <w:b/>
          <w:i w:val="0"/>
          <w:color w:val="auto"/>
          <w:sz w:val="24"/>
        </w:rPr>
        <w:instrText>Wyoming</w:instrText>
      </w:r>
      <w:r w:rsidRPr="00C47C14">
        <w:rPr>
          <w:rStyle w:val="FigureChar"/>
          <w:rFonts w:ascii="Times New Roman" w:hAnsi="Times New Roman" w:cs="Times New Roman"/>
          <w:b/>
          <w:i w:val="0"/>
          <w:color w:val="auto"/>
          <w:sz w:val="24"/>
        </w:rPr>
        <w:instrText xml:space="preserve"> Basin 2006 VOC Emission Sources (TPY)</w:instrText>
      </w:r>
      <w:bookmarkEnd w:id="130"/>
      <w:r w:rsidRPr="00C47C14">
        <w:rPr>
          <w:rFonts w:ascii="Times New Roman" w:hAnsi="Times New Roman" w:cs="Times New Roman"/>
          <w:i w:val="0"/>
          <w:color w:val="auto"/>
        </w:rPr>
        <w:fldChar w:fldCharType="end"/>
      </w:r>
    </w:p>
    <w:tbl>
      <w:tblPr>
        <w:tblW w:w="5614" w:type="pct"/>
        <w:tblInd w:w="-5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730"/>
        <w:gridCol w:w="823"/>
        <w:gridCol w:w="639"/>
        <w:gridCol w:w="822"/>
        <w:gridCol w:w="1004"/>
        <w:gridCol w:w="1002"/>
        <w:gridCol w:w="1095"/>
        <w:gridCol w:w="1095"/>
        <w:gridCol w:w="547"/>
        <w:gridCol w:w="1186"/>
        <w:gridCol w:w="1370"/>
        <w:gridCol w:w="1002"/>
        <w:gridCol w:w="638"/>
      </w:tblGrid>
      <w:tr w:rsidR="009757E2" w:rsidRPr="00D15774" w:rsidTr="009757E2">
        <w:trPr>
          <w:trHeight w:val="255"/>
        </w:trPr>
        <w:tc>
          <w:tcPr>
            <w:tcW w:w="305" w:type="pct"/>
            <w:shd w:val="clear" w:color="auto" w:fill="E6E6E6"/>
            <w:vAlign w:val="bottom"/>
          </w:tcPr>
          <w:p w:rsidR="003E7EF1" w:rsidRPr="00D15774" w:rsidRDefault="003E7EF1" w:rsidP="003E7EF1">
            <w:pPr>
              <w:ind w:left="-441"/>
              <w:jc w:val="center"/>
              <w:rPr>
                <w:b/>
                <w:bCs/>
                <w:sz w:val="16"/>
                <w:szCs w:val="16"/>
              </w:rPr>
            </w:pPr>
          </w:p>
        </w:tc>
        <w:tc>
          <w:tcPr>
            <w:tcW w:w="344" w:type="pct"/>
            <w:shd w:val="clear" w:color="auto" w:fill="E6E6E6"/>
            <w:vAlign w:val="bottom"/>
          </w:tcPr>
          <w:p w:rsidR="003E7EF1" w:rsidRPr="00D15774" w:rsidRDefault="003E7EF1" w:rsidP="003305EC">
            <w:pPr>
              <w:jc w:val="center"/>
              <w:rPr>
                <w:b/>
                <w:bCs/>
                <w:spacing w:val="-4"/>
                <w:sz w:val="16"/>
                <w:szCs w:val="16"/>
              </w:rPr>
            </w:pPr>
            <w:r w:rsidRPr="00D15774">
              <w:rPr>
                <w:b/>
                <w:bCs/>
                <w:spacing w:val="-4"/>
                <w:sz w:val="16"/>
                <w:szCs w:val="16"/>
              </w:rPr>
              <w:t>Condensate Tanks</w:t>
            </w:r>
          </w:p>
        </w:tc>
        <w:tc>
          <w:tcPr>
            <w:tcW w:w="267" w:type="pct"/>
            <w:shd w:val="clear" w:color="auto" w:fill="E6E6E6"/>
            <w:vAlign w:val="bottom"/>
          </w:tcPr>
          <w:p w:rsidR="003E7EF1" w:rsidRPr="00D15774" w:rsidRDefault="003E7EF1" w:rsidP="003305EC">
            <w:pPr>
              <w:jc w:val="center"/>
              <w:rPr>
                <w:b/>
                <w:bCs/>
                <w:spacing w:val="-4"/>
                <w:sz w:val="16"/>
                <w:szCs w:val="16"/>
              </w:rPr>
            </w:pPr>
            <w:r w:rsidRPr="00D15774">
              <w:rPr>
                <w:b/>
                <w:bCs/>
                <w:spacing w:val="-4"/>
                <w:sz w:val="16"/>
                <w:szCs w:val="16"/>
              </w:rPr>
              <w:t>Oil Tanks</w:t>
            </w:r>
          </w:p>
        </w:tc>
        <w:tc>
          <w:tcPr>
            <w:tcW w:w="344" w:type="pct"/>
            <w:shd w:val="clear" w:color="auto" w:fill="E6E6E6"/>
            <w:vAlign w:val="bottom"/>
          </w:tcPr>
          <w:p w:rsidR="003E7EF1" w:rsidRPr="00D15774" w:rsidRDefault="003E7EF1" w:rsidP="003305EC">
            <w:pPr>
              <w:jc w:val="center"/>
              <w:rPr>
                <w:b/>
                <w:bCs/>
                <w:spacing w:val="-4"/>
                <w:sz w:val="16"/>
                <w:szCs w:val="16"/>
              </w:rPr>
            </w:pPr>
            <w:r w:rsidRPr="00D15774">
              <w:rPr>
                <w:b/>
                <w:bCs/>
                <w:spacing w:val="-4"/>
                <w:sz w:val="16"/>
                <w:szCs w:val="16"/>
              </w:rPr>
              <w:t>Fugitives</w:t>
            </w:r>
          </w:p>
        </w:tc>
        <w:tc>
          <w:tcPr>
            <w:tcW w:w="420" w:type="pct"/>
            <w:shd w:val="clear" w:color="auto" w:fill="E6E6E6"/>
            <w:vAlign w:val="bottom"/>
          </w:tcPr>
          <w:p w:rsidR="003E7EF1" w:rsidRPr="00D15774" w:rsidRDefault="003E7EF1" w:rsidP="003305EC">
            <w:pPr>
              <w:jc w:val="center"/>
              <w:rPr>
                <w:b/>
                <w:bCs/>
                <w:sz w:val="16"/>
                <w:szCs w:val="16"/>
              </w:rPr>
            </w:pPr>
            <w:r w:rsidRPr="00D15774">
              <w:rPr>
                <w:b/>
                <w:bCs/>
                <w:sz w:val="16"/>
                <w:szCs w:val="16"/>
              </w:rPr>
              <w:t>Pneumatic Devices</w:t>
            </w:r>
          </w:p>
        </w:tc>
        <w:tc>
          <w:tcPr>
            <w:tcW w:w="419" w:type="pct"/>
            <w:shd w:val="clear" w:color="auto" w:fill="E6E6E6"/>
            <w:vAlign w:val="bottom"/>
          </w:tcPr>
          <w:p w:rsidR="003E7EF1" w:rsidRPr="00D15774" w:rsidRDefault="003E7EF1" w:rsidP="003305EC">
            <w:pPr>
              <w:jc w:val="center"/>
              <w:rPr>
                <w:b/>
                <w:bCs/>
                <w:sz w:val="16"/>
                <w:szCs w:val="16"/>
              </w:rPr>
            </w:pPr>
            <w:r w:rsidRPr="00D15774">
              <w:rPr>
                <w:b/>
                <w:bCs/>
                <w:sz w:val="16"/>
                <w:szCs w:val="16"/>
              </w:rPr>
              <w:t>Pneumatic Pumps</w:t>
            </w:r>
          </w:p>
        </w:tc>
        <w:tc>
          <w:tcPr>
            <w:tcW w:w="458" w:type="pct"/>
            <w:shd w:val="clear" w:color="auto" w:fill="E6E6E6"/>
            <w:vAlign w:val="bottom"/>
          </w:tcPr>
          <w:p w:rsidR="003E7EF1" w:rsidRPr="00D15774" w:rsidRDefault="003E7EF1" w:rsidP="003305EC">
            <w:pPr>
              <w:jc w:val="center"/>
              <w:rPr>
                <w:b/>
                <w:bCs/>
                <w:sz w:val="16"/>
                <w:szCs w:val="16"/>
              </w:rPr>
            </w:pPr>
            <w:r w:rsidRPr="00D15774">
              <w:rPr>
                <w:b/>
                <w:bCs/>
                <w:sz w:val="16"/>
                <w:szCs w:val="16"/>
              </w:rPr>
              <w:t>Dehydrators</w:t>
            </w:r>
          </w:p>
        </w:tc>
        <w:tc>
          <w:tcPr>
            <w:tcW w:w="458" w:type="pct"/>
            <w:shd w:val="clear" w:color="auto" w:fill="E6E6E6"/>
            <w:vAlign w:val="bottom"/>
          </w:tcPr>
          <w:p w:rsidR="003E7EF1" w:rsidRPr="00D15774" w:rsidRDefault="003E7EF1" w:rsidP="003305EC">
            <w:pPr>
              <w:jc w:val="center"/>
              <w:rPr>
                <w:b/>
                <w:bCs/>
                <w:sz w:val="16"/>
                <w:szCs w:val="16"/>
              </w:rPr>
            </w:pPr>
            <w:r w:rsidRPr="00D15774">
              <w:rPr>
                <w:b/>
                <w:bCs/>
                <w:sz w:val="16"/>
                <w:szCs w:val="16"/>
              </w:rPr>
              <w:t>Compressor Engines</w:t>
            </w:r>
          </w:p>
        </w:tc>
        <w:tc>
          <w:tcPr>
            <w:tcW w:w="229" w:type="pct"/>
            <w:shd w:val="clear" w:color="auto" w:fill="E6E6E6"/>
            <w:vAlign w:val="bottom"/>
          </w:tcPr>
          <w:p w:rsidR="003E7EF1" w:rsidRPr="00D15774" w:rsidRDefault="003E7EF1" w:rsidP="003305EC">
            <w:pPr>
              <w:jc w:val="center"/>
              <w:rPr>
                <w:b/>
                <w:bCs/>
                <w:sz w:val="16"/>
                <w:szCs w:val="16"/>
              </w:rPr>
            </w:pPr>
            <w:r w:rsidRPr="00D15774">
              <w:rPr>
                <w:b/>
                <w:bCs/>
                <w:sz w:val="16"/>
                <w:szCs w:val="16"/>
              </w:rPr>
              <w:t>Drill Rigs</w:t>
            </w:r>
          </w:p>
        </w:tc>
        <w:tc>
          <w:tcPr>
            <w:tcW w:w="496" w:type="pct"/>
            <w:shd w:val="clear" w:color="auto" w:fill="E6E6E6"/>
            <w:vAlign w:val="bottom"/>
          </w:tcPr>
          <w:p w:rsidR="003E7EF1" w:rsidRPr="00D15774" w:rsidRDefault="003E7EF1" w:rsidP="003305EC">
            <w:pPr>
              <w:jc w:val="center"/>
              <w:rPr>
                <w:b/>
                <w:bCs/>
                <w:sz w:val="16"/>
                <w:szCs w:val="16"/>
              </w:rPr>
            </w:pPr>
            <w:r w:rsidRPr="00D15774">
              <w:rPr>
                <w:b/>
                <w:bCs/>
                <w:sz w:val="16"/>
                <w:szCs w:val="16"/>
              </w:rPr>
              <w:t>Venting – Initial Completions</w:t>
            </w:r>
          </w:p>
        </w:tc>
        <w:tc>
          <w:tcPr>
            <w:tcW w:w="573" w:type="pct"/>
            <w:shd w:val="clear" w:color="auto" w:fill="E6E6E6"/>
            <w:vAlign w:val="bottom"/>
          </w:tcPr>
          <w:p w:rsidR="003E7EF1" w:rsidRPr="00D15774" w:rsidRDefault="003E7EF1" w:rsidP="003305EC">
            <w:pPr>
              <w:jc w:val="center"/>
              <w:rPr>
                <w:b/>
                <w:bCs/>
                <w:sz w:val="16"/>
                <w:szCs w:val="16"/>
              </w:rPr>
            </w:pPr>
            <w:r w:rsidRPr="00D15774">
              <w:rPr>
                <w:b/>
                <w:bCs/>
                <w:sz w:val="16"/>
                <w:szCs w:val="16"/>
              </w:rPr>
              <w:t>Venting –Recompletions</w:t>
            </w:r>
          </w:p>
        </w:tc>
        <w:tc>
          <w:tcPr>
            <w:tcW w:w="419" w:type="pct"/>
            <w:shd w:val="clear" w:color="auto" w:fill="E6E6E6"/>
            <w:vAlign w:val="bottom"/>
          </w:tcPr>
          <w:p w:rsidR="003E7EF1" w:rsidRPr="00D15774" w:rsidRDefault="003E7EF1" w:rsidP="003305EC">
            <w:pPr>
              <w:jc w:val="center"/>
              <w:rPr>
                <w:b/>
                <w:bCs/>
                <w:sz w:val="16"/>
                <w:szCs w:val="16"/>
              </w:rPr>
            </w:pPr>
            <w:r w:rsidRPr="00D15774">
              <w:rPr>
                <w:b/>
                <w:bCs/>
                <w:sz w:val="16"/>
                <w:szCs w:val="16"/>
              </w:rPr>
              <w:t>Other Categories</w:t>
            </w:r>
          </w:p>
        </w:tc>
        <w:tc>
          <w:tcPr>
            <w:tcW w:w="267" w:type="pct"/>
            <w:shd w:val="clear" w:color="auto" w:fill="E6E6E6"/>
            <w:vAlign w:val="bottom"/>
          </w:tcPr>
          <w:p w:rsidR="007F197C" w:rsidRPr="00D15774" w:rsidRDefault="007F197C" w:rsidP="003305EC">
            <w:pPr>
              <w:jc w:val="center"/>
              <w:rPr>
                <w:b/>
                <w:bCs/>
                <w:sz w:val="16"/>
                <w:szCs w:val="16"/>
              </w:rPr>
            </w:pPr>
            <w:r w:rsidRPr="00D15774">
              <w:rPr>
                <w:b/>
                <w:bCs/>
                <w:sz w:val="16"/>
                <w:szCs w:val="16"/>
              </w:rPr>
              <w:t>Grand</w:t>
            </w:r>
          </w:p>
          <w:p w:rsidR="003E7EF1" w:rsidRPr="00D15774" w:rsidRDefault="007F197C" w:rsidP="003305EC">
            <w:pPr>
              <w:jc w:val="center"/>
              <w:rPr>
                <w:b/>
                <w:bCs/>
                <w:sz w:val="16"/>
                <w:szCs w:val="16"/>
              </w:rPr>
            </w:pPr>
            <w:r w:rsidRPr="00D15774">
              <w:rPr>
                <w:b/>
                <w:bCs/>
                <w:sz w:val="16"/>
                <w:szCs w:val="16"/>
              </w:rPr>
              <w:t>Total</w:t>
            </w:r>
          </w:p>
        </w:tc>
      </w:tr>
      <w:tr w:rsidR="009757E2" w:rsidRPr="00D15774" w:rsidTr="009757E2">
        <w:trPr>
          <w:trHeight w:val="255"/>
        </w:trPr>
        <w:tc>
          <w:tcPr>
            <w:tcW w:w="305" w:type="pct"/>
            <w:shd w:val="clear" w:color="auto" w:fill="auto"/>
            <w:noWrap/>
            <w:vAlign w:val="bottom"/>
          </w:tcPr>
          <w:p w:rsidR="003E7EF1" w:rsidRPr="00D15774" w:rsidRDefault="003E7EF1" w:rsidP="003305EC">
            <w:pPr>
              <w:rPr>
                <w:b/>
                <w:bCs/>
                <w:sz w:val="16"/>
                <w:szCs w:val="16"/>
              </w:rPr>
            </w:pPr>
            <w:r w:rsidRPr="00D15774">
              <w:rPr>
                <w:b/>
                <w:bCs/>
                <w:sz w:val="16"/>
                <w:szCs w:val="16"/>
              </w:rPr>
              <w:t>Total</w:t>
            </w:r>
          </w:p>
          <w:p w:rsidR="007F197C" w:rsidRPr="00D15774" w:rsidRDefault="007F197C" w:rsidP="003305EC">
            <w:pPr>
              <w:rPr>
                <w:sz w:val="16"/>
                <w:szCs w:val="16"/>
              </w:rPr>
            </w:pPr>
            <w:r w:rsidRPr="00D15774">
              <w:rPr>
                <w:b/>
                <w:bCs/>
                <w:sz w:val="16"/>
                <w:szCs w:val="16"/>
              </w:rPr>
              <w:t>Tons</w:t>
            </w:r>
          </w:p>
        </w:tc>
        <w:tc>
          <w:tcPr>
            <w:tcW w:w="344" w:type="pct"/>
            <w:shd w:val="clear" w:color="auto" w:fill="auto"/>
            <w:noWrap/>
            <w:vAlign w:val="bottom"/>
          </w:tcPr>
          <w:p w:rsidR="003E7EF1" w:rsidRPr="00D15774" w:rsidRDefault="003E7EF1" w:rsidP="004556F4">
            <w:pPr>
              <w:jc w:val="center"/>
              <w:rPr>
                <w:color w:val="000000"/>
                <w:sz w:val="16"/>
                <w:szCs w:val="16"/>
              </w:rPr>
            </w:pPr>
            <w:r w:rsidRPr="00D15774">
              <w:rPr>
                <w:sz w:val="16"/>
                <w:szCs w:val="16"/>
              </w:rPr>
              <w:t>31,259</w:t>
            </w:r>
          </w:p>
        </w:tc>
        <w:tc>
          <w:tcPr>
            <w:tcW w:w="267" w:type="pct"/>
            <w:vAlign w:val="bottom"/>
          </w:tcPr>
          <w:p w:rsidR="003E7EF1" w:rsidRPr="00D15774" w:rsidRDefault="003E7EF1" w:rsidP="004556F4">
            <w:pPr>
              <w:jc w:val="center"/>
              <w:rPr>
                <w:color w:val="000000"/>
                <w:sz w:val="16"/>
                <w:szCs w:val="16"/>
              </w:rPr>
            </w:pPr>
            <w:r w:rsidRPr="00D15774">
              <w:rPr>
                <w:color w:val="000000"/>
                <w:sz w:val="16"/>
                <w:szCs w:val="16"/>
              </w:rPr>
              <w:t>1,659</w:t>
            </w:r>
          </w:p>
        </w:tc>
        <w:tc>
          <w:tcPr>
            <w:tcW w:w="344" w:type="pct"/>
            <w:vAlign w:val="bottom"/>
          </w:tcPr>
          <w:p w:rsidR="003E7EF1" w:rsidRPr="00D15774" w:rsidRDefault="003E7EF1" w:rsidP="004556F4">
            <w:pPr>
              <w:jc w:val="center"/>
              <w:rPr>
                <w:color w:val="000000"/>
                <w:sz w:val="16"/>
                <w:szCs w:val="16"/>
              </w:rPr>
            </w:pPr>
            <w:r w:rsidRPr="00D15774">
              <w:rPr>
                <w:sz w:val="16"/>
                <w:szCs w:val="16"/>
              </w:rPr>
              <w:t>23,024</w:t>
            </w:r>
          </w:p>
        </w:tc>
        <w:tc>
          <w:tcPr>
            <w:tcW w:w="420" w:type="pct"/>
            <w:vAlign w:val="bottom"/>
          </w:tcPr>
          <w:p w:rsidR="003E7EF1" w:rsidRPr="00D15774" w:rsidRDefault="003E7EF1" w:rsidP="004556F4">
            <w:pPr>
              <w:jc w:val="center"/>
              <w:rPr>
                <w:color w:val="000000"/>
                <w:sz w:val="16"/>
                <w:szCs w:val="16"/>
              </w:rPr>
            </w:pPr>
            <w:r w:rsidRPr="00D15774">
              <w:rPr>
                <w:color w:val="000000"/>
                <w:sz w:val="16"/>
                <w:szCs w:val="16"/>
              </w:rPr>
              <w:t>16,309</w:t>
            </w:r>
          </w:p>
        </w:tc>
        <w:tc>
          <w:tcPr>
            <w:tcW w:w="419" w:type="pct"/>
            <w:vAlign w:val="bottom"/>
          </w:tcPr>
          <w:p w:rsidR="003E7EF1" w:rsidRPr="00D15774" w:rsidRDefault="003E7EF1" w:rsidP="004556F4">
            <w:pPr>
              <w:jc w:val="center"/>
              <w:rPr>
                <w:color w:val="000000"/>
                <w:sz w:val="16"/>
                <w:szCs w:val="16"/>
              </w:rPr>
            </w:pPr>
            <w:r w:rsidRPr="00D15774">
              <w:rPr>
                <w:color w:val="000000"/>
                <w:sz w:val="16"/>
                <w:szCs w:val="16"/>
              </w:rPr>
              <w:t>5,993</w:t>
            </w:r>
          </w:p>
        </w:tc>
        <w:tc>
          <w:tcPr>
            <w:tcW w:w="458" w:type="pct"/>
            <w:vAlign w:val="bottom"/>
          </w:tcPr>
          <w:p w:rsidR="003E7EF1" w:rsidRPr="00D15774" w:rsidRDefault="003E7EF1" w:rsidP="004556F4">
            <w:pPr>
              <w:jc w:val="center"/>
              <w:rPr>
                <w:color w:val="000000"/>
                <w:sz w:val="16"/>
                <w:szCs w:val="16"/>
              </w:rPr>
            </w:pPr>
            <w:r w:rsidRPr="00D15774">
              <w:rPr>
                <w:color w:val="000000"/>
                <w:sz w:val="16"/>
                <w:szCs w:val="16"/>
              </w:rPr>
              <w:t>9,610</w:t>
            </w:r>
          </w:p>
        </w:tc>
        <w:tc>
          <w:tcPr>
            <w:tcW w:w="458" w:type="pct"/>
            <w:shd w:val="clear" w:color="auto" w:fill="auto"/>
            <w:noWrap/>
            <w:vAlign w:val="bottom"/>
          </w:tcPr>
          <w:p w:rsidR="003E7EF1" w:rsidRPr="00D15774" w:rsidRDefault="003E7EF1" w:rsidP="004556F4">
            <w:pPr>
              <w:jc w:val="center"/>
              <w:rPr>
                <w:color w:val="000000"/>
                <w:sz w:val="16"/>
                <w:szCs w:val="16"/>
              </w:rPr>
            </w:pPr>
            <w:r w:rsidRPr="00D15774">
              <w:rPr>
                <w:color w:val="000000"/>
                <w:sz w:val="16"/>
                <w:szCs w:val="16"/>
              </w:rPr>
              <w:t>1,553</w:t>
            </w:r>
          </w:p>
        </w:tc>
        <w:tc>
          <w:tcPr>
            <w:tcW w:w="229" w:type="pct"/>
            <w:vAlign w:val="bottom"/>
          </w:tcPr>
          <w:p w:rsidR="003E7EF1" w:rsidRPr="00D15774" w:rsidRDefault="003E7EF1" w:rsidP="004556F4">
            <w:pPr>
              <w:jc w:val="center"/>
              <w:rPr>
                <w:color w:val="000000"/>
                <w:sz w:val="16"/>
                <w:szCs w:val="16"/>
              </w:rPr>
            </w:pPr>
            <w:r w:rsidRPr="00D15774">
              <w:rPr>
                <w:color w:val="000000"/>
                <w:sz w:val="16"/>
                <w:szCs w:val="16"/>
              </w:rPr>
              <w:t>596</w:t>
            </w:r>
          </w:p>
        </w:tc>
        <w:tc>
          <w:tcPr>
            <w:tcW w:w="496" w:type="pct"/>
            <w:vAlign w:val="bottom"/>
          </w:tcPr>
          <w:p w:rsidR="003E7EF1" w:rsidRPr="00D15774" w:rsidRDefault="003E7EF1" w:rsidP="004556F4">
            <w:pPr>
              <w:jc w:val="center"/>
              <w:rPr>
                <w:color w:val="000000"/>
                <w:sz w:val="16"/>
                <w:szCs w:val="16"/>
              </w:rPr>
            </w:pPr>
            <w:r w:rsidRPr="00D15774">
              <w:rPr>
                <w:color w:val="000000"/>
                <w:sz w:val="16"/>
                <w:szCs w:val="16"/>
              </w:rPr>
              <w:t>746</w:t>
            </w:r>
          </w:p>
        </w:tc>
        <w:tc>
          <w:tcPr>
            <w:tcW w:w="573" w:type="pct"/>
            <w:vAlign w:val="bottom"/>
          </w:tcPr>
          <w:p w:rsidR="003E7EF1" w:rsidRPr="00D15774" w:rsidRDefault="003E7EF1" w:rsidP="004556F4">
            <w:pPr>
              <w:jc w:val="center"/>
              <w:rPr>
                <w:color w:val="000000"/>
                <w:sz w:val="16"/>
                <w:szCs w:val="16"/>
              </w:rPr>
            </w:pPr>
            <w:r w:rsidRPr="00D15774">
              <w:rPr>
                <w:color w:val="000000"/>
                <w:sz w:val="16"/>
                <w:szCs w:val="16"/>
              </w:rPr>
              <w:t>508</w:t>
            </w:r>
          </w:p>
        </w:tc>
        <w:tc>
          <w:tcPr>
            <w:tcW w:w="419" w:type="pct"/>
            <w:shd w:val="clear" w:color="auto" w:fill="auto"/>
            <w:noWrap/>
            <w:vAlign w:val="bottom"/>
          </w:tcPr>
          <w:p w:rsidR="003E7EF1" w:rsidRPr="00D15774" w:rsidRDefault="003E7EF1" w:rsidP="004556F4">
            <w:pPr>
              <w:jc w:val="center"/>
              <w:rPr>
                <w:color w:val="000000"/>
                <w:sz w:val="16"/>
                <w:szCs w:val="16"/>
              </w:rPr>
            </w:pPr>
            <w:r w:rsidRPr="00D15774">
              <w:rPr>
                <w:sz w:val="16"/>
                <w:szCs w:val="16"/>
              </w:rPr>
              <w:t>2,756</w:t>
            </w:r>
          </w:p>
        </w:tc>
        <w:tc>
          <w:tcPr>
            <w:tcW w:w="267" w:type="pct"/>
            <w:shd w:val="clear" w:color="auto" w:fill="auto"/>
            <w:noWrap/>
            <w:vAlign w:val="bottom"/>
          </w:tcPr>
          <w:p w:rsidR="003E7EF1" w:rsidRPr="00D15774" w:rsidRDefault="003E7EF1" w:rsidP="004556F4">
            <w:pPr>
              <w:jc w:val="center"/>
              <w:rPr>
                <w:color w:val="000000"/>
                <w:sz w:val="16"/>
                <w:szCs w:val="16"/>
              </w:rPr>
            </w:pPr>
            <w:r w:rsidRPr="00D15774">
              <w:rPr>
                <w:color w:val="000000"/>
                <w:sz w:val="16"/>
                <w:szCs w:val="16"/>
              </w:rPr>
              <w:t>94,013</w:t>
            </w:r>
          </w:p>
        </w:tc>
      </w:tr>
      <w:tr w:rsidR="009757E2" w:rsidRPr="00D15774" w:rsidTr="009757E2">
        <w:trPr>
          <w:trHeight w:val="585"/>
        </w:trPr>
        <w:tc>
          <w:tcPr>
            <w:tcW w:w="305" w:type="pct"/>
            <w:shd w:val="clear" w:color="auto" w:fill="auto"/>
            <w:noWrap/>
            <w:vAlign w:val="bottom"/>
          </w:tcPr>
          <w:p w:rsidR="004556F4" w:rsidRPr="00D15774" w:rsidRDefault="004556F4" w:rsidP="003305EC">
            <w:pPr>
              <w:rPr>
                <w:sz w:val="16"/>
                <w:szCs w:val="16"/>
              </w:rPr>
            </w:pPr>
            <w:r w:rsidRPr="00D15774">
              <w:rPr>
                <w:sz w:val="16"/>
                <w:szCs w:val="16"/>
              </w:rPr>
              <w:t>Percent</w:t>
            </w:r>
          </w:p>
          <w:p w:rsidR="004556F4" w:rsidRPr="00D15774" w:rsidRDefault="004556F4" w:rsidP="003305EC">
            <w:pPr>
              <w:rPr>
                <w:sz w:val="16"/>
                <w:szCs w:val="16"/>
              </w:rPr>
            </w:pPr>
            <w:r w:rsidRPr="00D15774">
              <w:rPr>
                <w:sz w:val="16"/>
                <w:szCs w:val="16"/>
              </w:rPr>
              <w:t>Of</w:t>
            </w:r>
          </w:p>
          <w:p w:rsidR="004556F4" w:rsidRPr="00D15774" w:rsidRDefault="004556F4" w:rsidP="003305EC">
            <w:pPr>
              <w:rPr>
                <w:sz w:val="16"/>
                <w:szCs w:val="16"/>
              </w:rPr>
            </w:pPr>
            <w:r w:rsidRPr="00D15774">
              <w:rPr>
                <w:sz w:val="16"/>
                <w:szCs w:val="16"/>
              </w:rPr>
              <w:t>Total</w:t>
            </w:r>
          </w:p>
        </w:tc>
        <w:tc>
          <w:tcPr>
            <w:tcW w:w="344" w:type="pct"/>
            <w:shd w:val="clear" w:color="auto" w:fill="auto"/>
            <w:noWrap/>
            <w:vAlign w:val="bottom"/>
          </w:tcPr>
          <w:p w:rsidR="004556F4" w:rsidRPr="00D15774" w:rsidRDefault="004556F4" w:rsidP="004556F4">
            <w:pPr>
              <w:jc w:val="center"/>
              <w:rPr>
                <w:color w:val="000000"/>
                <w:sz w:val="16"/>
                <w:szCs w:val="16"/>
              </w:rPr>
            </w:pPr>
            <w:r w:rsidRPr="00D15774">
              <w:rPr>
                <w:color w:val="000000"/>
                <w:sz w:val="16"/>
                <w:szCs w:val="16"/>
              </w:rPr>
              <w:t>33%</w:t>
            </w:r>
          </w:p>
          <w:p w:rsidR="004556F4" w:rsidRPr="00D15774" w:rsidRDefault="004556F4" w:rsidP="004556F4">
            <w:pPr>
              <w:jc w:val="center"/>
              <w:rPr>
                <w:color w:val="000000"/>
                <w:sz w:val="16"/>
                <w:szCs w:val="16"/>
              </w:rPr>
            </w:pPr>
          </w:p>
        </w:tc>
        <w:tc>
          <w:tcPr>
            <w:tcW w:w="267" w:type="pct"/>
            <w:vAlign w:val="bottom"/>
          </w:tcPr>
          <w:p w:rsidR="004556F4" w:rsidRPr="00D15774" w:rsidRDefault="004556F4" w:rsidP="004556F4">
            <w:pPr>
              <w:jc w:val="center"/>
              <w:rPr>
                <w:color w:val="000000"/>
                <w:sz w:val="16"/>
                <w:szCs w:val="16"/>
              </w:rPr>
            </w:pPr>
            <w:r w:rsidRPr="00D15774">
              <w:rPr>
                <w:color w:val="000000"/>
                <w:sz w:val="16"/>
                <w:szCs w:val="16"/>
              </w:rPr>
              <w:t>2%</w:t>
            </w:r>
          </w:p>
          <w:p w:rsidR="004556F4" w:rsidRPr="00D15774" w:rsidRDefault="004556F4" w:rsidP="004556F4">
            <w:pPr>
              <w:jc w:val="center"/>
              <w:rPr>
                <w:color w:val="000000"/>
                <w:sz w:val="16"/>
                <w:szCs w:val="16"/>
              </w:rPr>
            </w:pPr>
          </w:p>
        </w:tc>
        <w:tc>
          <w:tcPr>
            <w:tcW w:w="344" w:type="pct"/>
            <w:vAlign w:val="bottom"/>
          </w:tcPr>
          <w:p w:rsidR="004556F4" w:rsidRPr="00D15774" w:rsidRDefault="004556F4" w:rsidP="004556F4">
            <w:pPr>
              <w:jc w:val="center"/>
              <w:rPr>
                <w:color w:val="000000"/>
                <w:sz w:val="16"/>
                <w:szCs w:val="16"/>
              </w:rPr>
            </w:pPr>
            <w:r w:rsidRPr="00D15774">
              <w:rPr>
                <w:color w:val="000000"/>
                <w:sz w:val="16"/>
                <w:szCs w:val="16"/>
              </w:rPr>
              <w:t>24%</w:t>
            </w:r>
          </w:p>
          <w:p w:rsidR="004556F4" w:rsidRPr="00D15774" w:rsidRDefault="004556F4" w:rsidP="004556F4">
            <w:pPr>
              <w:jc w:val="center"/>
              <w:rPr>
                <w:color w:val="000000"/>
                <w:sz w:val="16"/>
                <w:szCs w:val="16"/>
              </w:rPr>
            </w:pPr>
          </w:p>
        </w:tc>
        <w:tc>
          <w:tcPr>
            <w:tcW w:w="420" w:type="pct"/>
            <w:vAlign w:val="bottom"/>
          </w:tcPr>
          <w:p w:rsidR="004556F4" w:rsidRPr="00D15774" w:rsidRDefault="004556F4" w:rsidP="004556F4">
            <w:pPr>
              <w:jc w:val="center"/>
              <w:rPr>
                <w:color w:val="000000"/>
                <w:sz w:val="16"/>
                <w:szCs w:val="16"/>
              </w:rPr>
            </w:pPr>
            <w:r w:rsidRPr="00D15774">
              <w:rPr>
                <w:color w:val="000000"/>
                <w:sz w:val="16"/>
                <w:szCs w:val="16"/>
              </w:rPr>
              <w:t>17%</w:t>
            </w:r>
          </w:p>
          <w:p w:rsidR="004556F4" w:rsidRPr="00D15774" w:rsidRDefault="004556F4" w:rsidP="004556F4">
            <w:pPr>
              <w:jc w:val="center"/>
              <w:rPr>
                <w:color w:val="000000"/>
                <w:sz w:val="16"/>
                <w:szCs w:val="16"/>
              </w:rPr>
            </w:pPr>
          </w:p>
        </w:tc>
        <w:tc>
          <w:tcPr>
            <w:tcW w:w="419" w:type="pct"/>
            <w:vAlign w:val="bottom"/>
          </w:tcPr>
          <w:p w:rsidR="004556F4" w:rsidRPr="00D15774" w:rsidRDefault="004556F4" w:rsidP="004556F4">
            <w:pPr>
              <w:jc w:val="center"/>
              <w:rPr>
                <w:color w:val="000000"/>
                <w:sz w:val="16"/>
                <w:szCs w:val="16"/>
              </w:rPr>
            </w:pPr>
            <w:r w:rsidRPr="00D15774">
              <w:rPr>
                <w:color w:val="000000"/>
                <w:sz w:val="16"/>
                <w:szCs w:val="16"/>
              </w:rPr>
              <w:t>6%</w:t>
            </w:r>
          </w:p>
          <w:p w:rsidR="004556F4" w:rsidRPr="00D15774" w:rsidRDefault="004556F4" w:rsidP="004556F4">
            <w:pPr>
              <w:jc w:val="center"/>
              <w:rPr>
                <w:color w:val="000000"/>
                <w:sz w:val="16"/>
                <w:szCs w:val="16"/>
              </w:rPr>
            </w:pPr>
          </w:p>
        </w:tc>
        <w:tc>
          <w:tcPr>
            <w:tcW w:w="458" w:type="pct"/>
            <w:vAlign w:val="bottom"/>
          </w:tcPr>
          <w:p w:rsidR="004556F4" w:rsidRPr="00D15774" w:rsidRDefault="004556F4" w:rsidP="004556F4">
            <w:pPr>
              <w:jc w:val="center"/>
              <w:rPr>
                <w:color w:val="000000"/>
                <w:sz w:val="16"/>
                <w:szCs w:val="16"/>
              </w:rPr>
            </w:pPr>
            <w:r w:rsidRPr="00D15774">
              <w:rPr>
                <w:color w:val="000000"/>
                <w:sz w:val="16"/>
                <w:szCs w:val="16"/>
              </w:rPr>
              <w:t>10%</w:t>
            </w:r>
          </w:p>
          <w:p w:rsidR="004556F4" w:rsidRPr="00D15774" w:rsidRDefault="004556F4" w:rsidP="004556F4">
            <w:pPr>
              <w:jc w:val="center"/>
              <w:rPr>
                <w:color w:val="000000"/>
                <w:sz w:val="16"/>
                <w:szCs w:val="16"/>
              </w:rPr>
            </w:pPr>
          </w:p>
        </w:tc>
        <w:tc>
          <w:tcPr>
            <w:tcW w:w="458" w:type="pct"/>
            <w:shd w:val="clear" w:color="auto" w:fill="auto"/>
            <w:noWrap/>
            <w:vAlign w:val="bottom"/>
          </w:tcPr>
          <w:p w:rsidR="004556F4" w:rsidRPr="00D15774" w:rsidRDefault="004556F4" w:rsidP="004556F4">
            <w:pPr>
              <w:jc w:val="center"/>
              <w:rPr>
                <w:color w:val="000000"/>
                <w:sz w:val="16"/>
                <w:szCs w:val="16"/>
              </w:rPr>
            </w:pPr>
            <w:r w:rsidRPr="00D15774">
              <w:rPr>
                <w:color w:val="000000"/>
                <w:sz w:val="16"/>
                <w:szCs w:val="16"/>
              </w:rPr>
              <w:t>2%</w:t>
            </w:r>
          </w:p>
          <w:p w:rsidR="004556F4" w:rsidRPr="00D15774" w:rsidRDefault="004556F4" w:rsidP="004556F4">
            <w:pPr>
              <w:jc w:val="center"/>
              <w:rPr>
                <w:color w:val="000000"/>
                <w:sz w:val="16"/>
                <w:szCs w:val="16"/>
              </w:rPr>
            </w:pPr>
          </w:p>
        </w:tc>
        <w:tc>
          <w:tcPr>
            <w:tcW w:w="229" w:type="pct"/>
            <w:vAlign w:val="bottom"/>
          </w:tcPr>
          <w:p w:rsidR="004556F4" w:rsidRPr="00D15774" w:rsidRDefault="004556F4" w:rsidP="004556F4">
            <w:pPr>
              <w:jc w:val="center"/>
              <w:rPr>
                <w:color w:val="000000"/>
                <w:sz w:val="16"/>
                <w:szCs w:val="16"/>
              </w:rPr>
            </w:pPr>
            <w:r w:rsidRPr="00D15774">
              <w:rPr>
                <w:color w:val="000000"/>
                <w:sz w:val="16"/>
                <w:szCs w:val="16"/>
              </w:rPr>
              <w:t>1%</w:t>
            </w:r>
          </w:p>
          <w:p w:rsidR="004556F4" w:rsidRPr="00D15774" w:rsidRDefault="004556F4" w:rsidP="004556F4">
            <w:pPr>
              <w:jc w:val="center"/>
              <w:rPr>
                <w:color w:val="000000"/>
                <w:sz w:val="16"/>
                <w:szCs w:val="16"/>
              </w:rPr>
            </w:pPr>
          </w:p>
        </w:tc>
        <w:tc>
          <w:tcPr>
            <w:tcW w:w="496" w:type="pct"/>
            <w:vAlign w:val="bottom"/>
          </w:tcPr>
          <w:p w:rsidR="004556F4" w:rsidRPr="00D15774" w:rsidRDefault="004556F4" w:rsidP="004556F4">
            <w:pPr>
              <w:jc w:val="center"/>
              <w:rPr>
                <w:color w:val="000000"/>
                <w:sz w:val="16"/>
                <w:szCs w:val="16"/>
              </w:rPr>
            </w:pPr>
            <w:r w:rsidRPr="00D15774">
              <w:rPr>
                <w:color w:val="000000"/>
                <w:sz w:val="16"/>
                <w:szCs w:val="16"/>
              </w:rPr>
              <w:t>1%</w:t>
            </w:r>
          </w:p>
          <w:p w:rsidR="004556F4" w:rsidRPr="00D15774" w:rsidRDefault="004556F4" w:rsidP="004556F4">
            <w:pPr>
              <w:jc w:val="center"/>
              <w:rPr>
                <w:color w:val="000000"/>
                <w:sz w:val="16"/>
                <w:szCs w:val="16"/>
              </w:rPr>
            </w:pPr>
          </w:p>
        </w:tc>
        <w:tc>
          <w:tcPr>
            <w:tcW w:w="573" w:type="pct"/>
            <w:vAlign w:val="bottom"/>
          </w:tcPr>
          <w:p w:rsidR="004556F4" w:rsidRPr="00D15774" w:rsidRDefault="001F1D94" w:rsidP="004556F4">
            <w:pPr>
              <w:jc w:val="center"/>
              <w:rPr>
                <w:color w:val="000000"/>
                <w:sz w:val="16"/>
                <w:szCs w:val="16"/>
              </w:rPr>
            </w:pPr>
            <w:r w:rsidRPr="00D15774">
              <w:rPr>
                <w:color w:val="000000"/>
                <w:sz w:val="16"/>
                <w:szCs w:val="16"/>
              </w:rPr>
              <w:t>1%</w:t>
            </w:r>
          </w:p>
          <w:p w:rsidR="001F1D94" w:rsidRPr="00D15774" w:rsidRDefault="001F1D94" w:rsidP="004556F4">
            <w:pPr>
              <w:jc w:val="center"/>
              <w:rPr>
                <w:color w:val="000000"/>
                <w:sz w:val="16"/>
                <w:szCs w:val="16"/>
              </w:rPr>
            </w:pPr>
          </w:p>
        </w:tc>
        <w:tc>
          <w:tcPr>
            <w:tcW w:w="419" w:type="pct"/>
            <w:shd w:val="clear" w:color="auto" w:fill="auto"/>
            <w:noWrap/>
            <w:vAlign w:val="bottom"/>
          </w:tcPr>
          <w:p w:rsidR="004556F4" w:rsidRPr="00D15774" w:rsidRDefault="001F1D94" w:rsidP="004556F4">
            <w:pPr>
              <w:jc w:val="center"/>
              <w:rPr>
                <w:color w:val="000000"/>
                <w:sz w:val="16"/>
                <w:szCs w:val="16"/>
              </w:rPr>
            </w:pPr>
            <w:r w:rsidRPr="00D15774">
              <w:rPr>
                <w:color w:val="000000"/>
                <w:sz w:val="16"/>
                <w:szCs w:val="16"/>
              </w:rPr>
              <w:t>3%</w:t>
            </w:r>
          </w:p>
          <w:p w:rsidR="001F1D94" w:rsidRPr="00D15774" w:rsidRDefault="001F1D94" w:rsidP="004556F4">
            <w:pPr>
              <w:jc w:val="center"/>
              <w:rPr>
                <w:color w:val="000000"/>
                <w:sz w:val="16"/>
                <w:szCs w:val="16"/>
              </w:rPr>
            </w:pPr>
          </w:p>
        </w:tc>
        <w:tc>
          <w:tcPr>
            <w:tcW w:w="267" w:type="pct"/>
            <w:shd w:val="clear" w:color="auto" w:fill="auto"/>
            <w:noWrap/>
            <w:vAlign w:val="bottom"/>
          </w:tcPr>
          <w:p w:rsidR="004556F4" w:rsidRPr="00D15774" w:rsidRDefault="001F1D94" w:rsidP="004556F4">
            <w:pPr>
              <w:jc w:val="center"/>
              <w:rPr>
                <w:color w:val="000000"/>
                <w:sz w:val="16"/>
                <w:szCs w:val="16"/>
              </w:rPr>
            </w:pPr>
            <w:r w:rsidRPr="00D15774">
              <w:rPr>
                <w:color w:val="000000"/>
                <w:sz w:val="16"/>
                <w:szCs w:val="16"/>
              </w:rPr>
              <w:t>100%</w:t>
            </w:r>
          </w:p>
          <w:p w:rsidR="001F1D94" w:rsidRPr="00D15774" w:rsidRDefault="001F1D94" w:rsidP="004556F4">
            <w:pPr>
              <w:jc w:val="center"/>
              <w:rPr>
                <w:color w:val="000000"/>
                <w:sz w:val="16"/>
                <w:szCs w:val="16"/>
              </w:rPr>
            </w:pPr>
          </w:p>
        </w:tc>
      </w:tr>
      <w:tr w:rsidR="009757E2" w:rsidRPr="00D15774" w:rsidTr="009757E2">
        <w:trPr>
          <w:trHeight w:val="72"/>
        </w:trPr>
        <w:tc>
          <w:tcPr>
            <w:tcW w:w="305" w:type="pct"/>
            <w:shd w:val="clear" w:color="auto" w:fill="auto"/>
            <w:noWrap/>
          </w:tcPr>
          <w:tbl>
            <w:tblPr>
              <w:tblW w:w="11519" w:type="dxa"/>
              <w:jc w:val="center"/>
              <w:tblBorders>
                <w:top w:val="nil"/>
                <w:left w:val="nil"/>
                <w:bottom w:val="nil"/>
                <w:right w:val="nil"/>
                <w:insideH w:val="nil"/>
                <w:insideV w:val="nil"/>
              </w:tblBorders>
              <w:tblLayout w:type="fixed"/>
              <w:tblCellMar>
                <w:left w:w="35" w:type="dxa"/>
                <w:right w:w="35" w:type="dxa"/>
              </w:tblCellMar>
              <w:tblLook w:val="0000" w:firstRow="0" w:lastRow="0" w:firstColumn="0" w:lastColumn="0" w:noHBand="0" w:noVBand="0"/>
            </w:tblPr>
            <w:tblGrid>
              <w:gridCol w:w="685"/>
              <w:gridCol w:w="858"/>
              <w:gridCol w:w="608"/>
              <w:gridCol w:w="889"/>
              <w:gridCol w:w="983"/>
              <w:gridCol w:w="998"/>
              <w:gridCol w:w="671"/>
              <w:gridCol w:w="936"/>
              <w:gridCol w:w="796"/>
              <w:gridCol w:w="827"/>
              <w:gridCol w:w="577"/>
              <w:gridCol w:w="920"/>
              <w:gridCol w:w="811"/>
              <w:gridCol w:w="960"/>
            </w:tblGrid>
            <w:tr w:rsidR="009328C4" w:rsidRPr="00D15774" w:rsidTr="009328C4">
              <w:trPr>
                <w:trHeight w:hRule="exact" w:val="144"/>
                <w:jc w:val="center"/>
              </w:trPr>
              <w:tc>
                <w:tcPr>
                  <w:tcW w:w="685"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b w:val="0"/>
                      <w:sz w:val="16"/>
                    </w:rPr>
                  </w:pPr>
                </w:p>
              </w:tc>
              <w:tc>
                <w:tcPr>
                  <w:tcW w:w="85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60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89"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83"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9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67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3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79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2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57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2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1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6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r>
          </w:tbl>
          <w:p w:rsidR="009328C4" w:rsidRPr="00D15774" w:rsidRDefault="009328C4" w:rsidP="009328C4"/>
        </w:tc>
        <w:tc>
          <w:tcPr>
            <w:tcW w:w="344" w:type="pct"/>
            <w:shd w:val="clear" w:color="auto" w:fill="auto"/>
            <w:noWrap/>
          </w:tcPr>
          <w:tbl>
            <w:tblPr>
              <w:tblW w:w="11519" w:type="dxa"/>
              <w:jc w:val="center"/>
              <w:tblBorders>
                <w:top w:val="nil"/>
                <w:left w:val="nil"/>
                <w:bottom w:val="nil"/>
                <w:right w:val="nil"/>
                <w:insideH w:val="nil"/>
                <w:insideV w:val="nil"/>
              </w:tblBorders>
              <w:tblLayout w:type="fixed"/>
              <w:tblCellMar>
                <w:left w:w="35" w:type="dxa"/>
                <w:right w:w="35" w:type="dxa"/>
              </w:tblCellMar>
              <w:tblLook w:val="0000" w:firstRow="0" w:lastRow="0" w:firstColumn="0" w:lastColumn="0" w:noHBand="0" w:noVBand="0"/>
            </w:tblPr>
            <w:tblGrid>
              <w:gridCol w:w="685"/>
              <w:gridCol w:w="858"/>
              <w:gridCol w:w="608"/>
              <w:gridCol w:w="889"/>
              <w:gridCol w:w="983"/>
              <w:gridCol w:w="998"/>
              <w:gridCol w:w="671"/>
              <w:gridCol w:w="936"/>
              <w:gridCol w:w="796"/>
              <w:gridCol w:w="827"/>
              <w:gridCol w:w="577"/>
              <w:gridCol w:w="920"/>
              <w:gridCol w:w="811"/>
              <w:gridCol w:w="960"/>
            </w:tblGrid>
            <w:tr w:rsidR="009328C4" w:rsidRPr="00D15774" w:rsidTr="009328C4">
              <w:trPr>
                <w:trHeight w:hRule="exact" w:val="144"/>
                <w:jc w:val="center"/>
              </w:trPr>
              <w:tc>
                <w:tcPr>
                  <w:tcW w:w="685"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b w:val="0"/>
                      <w:sz w:val="16"/>
                    </w:rPr>
                  </w:pPr>
                </w:p>
              </w:tc>
              <w:tc>
                <w:tcPr>
                  <w:tcW w:w="85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60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89"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83"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9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67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3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79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2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57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2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1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6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r>
          </w:tbl>
          <w:p w:rsidR="009328C4" w:rsidRPr="00D15774" w:rsidRDefault="009328C4" w:rsidP="009328C4"/>
        </w:tc>
        <w:tc>
          <w:tcPr>
            <w:tcW w:w="267" w:type="pct"/>
          </w:tcPr>
          <w:tbl>
            <w:tblPr>
              <w:tblW w:w="11519" w:type="dxa"/>
              <w:jc w:val="center"/>
              <w:tblBorders>
                <w:top w:val="nil"/>
                <w:left w:val="nil"/>
                <w:bottom w:val="nil"/>
                <w:right w:val="nil"/>
                <w:insideH w:val="nil"/>
                <w:insideV w:val="nil"/>
              </w:tblBorders>
              <w:tblLayout w:type="fixed"/>
              <w:tblCellMar>
                <w:left w:w="35" w:type="dxa"/>
                <w:right w:w="35" w:type="dxa"/>
              </w:tblCellMar>
              <w:tblLook w:val="0000" w:firstRow="0" w:lastRow="0" w:firstColumn="0" w:lastColumn="0" w:noHBand="0" w:noVBand="0"/>
            </w:tblPr>
            <w:tblGrid>
              <w:gridCol w:w="685"/>
              <w:gridCol w:w="858"/>
              <w:gridCol w:w="608"/>
              <w:gridCol w:w="889"/>
              <w:gridCol w:w="983"/>
              <w:gridCol w:w="998"/>
              <w:gridCol w:w="671"/>
              <w:gridCol w:w="936"/>
              <w:gridCol w:w="796"/>
              <w:gridCol w:w="827"/>
              <w:gridCol w:w="577"/>
              <w:gridCol w:w="920"/>
              <w:gridCol w:w="811"/>
              <w:gridCol w:w="960"/>
            </w:tblGrid>
            <w:tr w:rsidR="009328C4" w:rsidRPr="00D15774" w:rsidTr="009328C4">
              <w:trPr>
                <w:trHeight w:hRule="exact" w:val="144"/>
                <w:jc w:val="center"/>
              </w:trPr>
              <w:tc>
                <w:tcPr>
                  <w:tcW w:w="685"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b w:val="0"/>
                      <w:sz w:val="16"/>
                    </w:rPr>
                  </w:pPr>
                </w:p>
              </w:tc>
              <w:tc>
                <w:tcPr>
                  <w:tcW w:w="85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60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89"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83"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9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67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3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79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2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57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2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1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6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r>
          </w:tbl>
          <w:p w:rsidR="009328C4" w:rsidRPr="00D15774" w:rsidRDefault="009328C4" w:rsidP="009328C4"/>
        </w:tc>
        <w:tc>
          <w:tcPr>
            <w:tcW w:w="344" w:type="pct"/>
          </w:tcPr>
          <w:tbl>
            <w:tblPr>
              <w:tblW w:w="11519" w:type="dxa"/>
              <w:jc w:val="center"/>
              <w:tblBorders>
                <w:top w:val="nil"/>
                <w:left w:val="nil"/>
                <w:bottom w:val="nil"/>
                <w:right w:val="nil"/>
                <w:insideH w:val="nil"/>
                <w:insideV w:val="nil"/>
              </w:tblBorders>
              <w:tblLayout w:type="fixed"/>
              <w:tblCellMar>
                <w:left w:w="35" w:type="dxa"/>
                <w:right w:w="35" w:type="dxa"/>
              </w:tblCellMar>
              <w:tblLook w:val="0000" w:firstRow="0" w:lastRow="0" w:firstColumn="0" w:lastColumn="0" w:noHBand="0" w:noVBand="0"/>
            </w:tblPr>
            <w:tblGrid>
              <w:gridCol w:w="685"/>
              <w:gridCol w:w="858"/>
              <w:gridCol w:w="608"/>
              <w:gridCol w:w="889"/>
              <w:gridCol w:w="983"/>
              <w:gridCol w:w="998"/>
              <w:gridCol w:w="671"/>
              <w:gridCol w:w="936"/>
              <w:gridCol w:w="796"/>
              <w:gridCol w:w="827"/>
              <w:gridCol w:w="577"/>
              <w:gridCol w:w="920"/>
              <w:gridCol w:w="811"/>
              <w:gridCol w:w="960"/>
            </w:tblGrid>
            <w:tr w:rsidR="009328C4" w:rsidRPr="00D15774" w:rsidTr="009328C4">
              <w:trPr>
                <w:trHeight w:hRule="exact" w:val="144"/>
                <w:jc w:val="center"/>
              </w:trPr>
              <w:tc>
                <w:tcPr>
                  <w:tcW w:w="685"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b w:val="0"/>
                      <w:sz w:val="16"/>
                    </w:rPr>
                  </w:pPr>
                </w:p>
              </w:tc>
              <w:tc>
                <w:tcPr>
                  <w:tcW w:w="85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60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89"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83"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9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67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3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79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2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57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2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1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6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r>
          </w:tbl>
          <w:p w:rsidR="009328C4" w:rsidRPr="00D15774" w:rsidRDefault="009328C4" w:rsidP="009328C4"/>
        </w:tc>
        <w:tc>
          <w:tcPr>
            <w:tcW w:w="420" w:type="pct"/>
          </w:tcPr>
          <w:tbl>
            <w:tblPr>
              <w:tblW w:w="11519" w:type="dxa"/>
              <w:jc w:val="center"/>
              <w:tblBorders>
                <w:top w:val="nil"/>
                <w:left w:val="nil"/>
                <w:bottom w:val="nil"/>
                <w:right w:val="nil"/>
                <w:insideH w:val="nil"/>
                <w:insideV w:val="nil"/>
              </w:tblBorders>
              <w:tblLayout w:type="fixed"/>
              <w:tblCellMar>
                <w:left w:w="35" w:type="dxa"/>
                <w:right w:w="35" w:type="dxa"/>
              </w:tblCellMar>
              <w:tblLook w:val="0000" w:firstRow="0" w:lastRow="0" w:firstColumn="0" w:lastColumn="0" w:noHBand="0" w:noVBand="0"/>
            </w:tblPr>
            <w:tblGrid>
              <w:gridCol w:w="685"/>
              <w:gridCol w:w="858"/>
              <w:gridCol w:w="608"/>
              <w:gridCol w:w="889"/>
              <w:gridCol w:w="983"/>
              <w:gridCol w:w="998"/>
              <w:gridCol w:w="671"/>
              <w:gridCol w:w="936"/>
              <w:gridCol w:w="796"/>
              <w:gridCol w:w="827"/>
              <w:gridCol w:w="577"/>
              <w:gridCol w:w="920"/>
              <w:gridCol w:w="811"/>
              <w:gridCol w:w="960"/>
            </w:tblGrid>
            <w:tr w:rsidR="009328C4" w:rsidRPr="00D15774" w:rsidTr="009328C4">
              <w:trPr>
                <w:trHeight w:hRule="exact" w:val="144"/>
                <w:jc w:val="center"/>
              </w:trPr>
              <w:tc>
                <w:tcPr>
                  <w:tcW w:w="685"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b w:val="0"/>
                      <w:sz w:val="16"/>
                    </w:rPr>
                  </w:pPr>
                </w:p>
              </w:tc>
              <w:tc>
                <w:tcPr>
                  <w:tcW w:w="85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60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89"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83"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9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67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3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79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2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57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2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1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6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r>
          </w:tbl>
          <w:p w:rsidR="009328C4" w:rsidRPr="00D15774" w:rsidRDefault="009328C4" w:rsidP="009328C4"/>
        </w:tc>
        <w:tc>
          <w:tcPr>
            <w:tcW w:w="419" w:type="pct"/>
          </w:tcPr>
          <w:tbl>
            <w:tblPr>
              <w:tblW w:w="11519" w:type="dxa"/>
              <w:jc w:val="center"/>
              <w:tblBorders>
                <w:top w:val="nil"/>
                <w:left w:val="nil"/>
                <w:bottom w:val="nil"/>
                <w:right w:val="nil"/>
                <w:insideH w:val="nil"/>
                <w:insideV w:val="nil"/>
              </w:tblBorders>
              <w:tblLayout w:type="fixed"/>
              <w:tblCellMar>
                <w:left w:w="35" w:type="dxa"/>
                <w:right w:w="35" w:type="dxa"/>
              </w:tblCellMar>
              <w:tblLook w:val="0000" w:firstRow="0" w:lastRow="0" w:firstColumn="0" w:lastColumn="0" w:noHBand="0" w:noVBand="0"/>
            </w:tblPr>
            <w:tblGrid>
              <w:gridCol w:w="685"/>
              <w:gridCol w:w="858"/>
              <w:gridCol w:w="608"/>
              <w:gridCol w:w="889"/>
              <w:gridCol w:w="983"/>
              <w:gridCol w:w="998"/>
              <w:gridCol w:w="671"/>
              <w:gridCol w:w="936"/>
              <w:gridCol w:w="796"/>
              <w:gridCol w:w="827"/>
              <w:gridCol w:w="577"/>
              <w:gridCol w:w="920"/>
              <w:gridCol w:w="811"/>
              <w:gridCol w:w="960"/>
            </w:tblGrid>
            <w:tr w:rsidR="009328C4" w:rsidRPr="00D15774" w:rsidTr="009328C4">
              <w:trPr>
                <w:trHeight w:hRule="exact" w:val="144"/>
                <w:jc w:val="center"/>
              </w:trPr>
              <w:tc>
                <w:tcPr>
                  <w:tcW w:w="685"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b w:val="0"/>
                      <w:sz w:val="16"/>
                    </w:rPr>
                  </w:pPr>
                </w:p>
              </w:tc>
              <w:tc>
                <w:tcPr>
                  <w:tcW w:w="85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60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89"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83"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9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67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3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79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2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57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2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1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6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r>
          </w:tbl>
          <w:p w:rsidR="009328C4" w:rsidRPr="00D15774" w:rsidRDefault="009328C4" w:rsidP="009328C4"/>
        </w:tc>
        <w:tc>
          <w:tcPr>
            <w:tcW w:w="458" w:type="pct"/>
          </w:tcPr>
          <w:tbl>
            <w:tblPr>
              <w:tblW w:w="11519" w:type="dxa"/>
              <w:jc w:val="center"/>
              <w:tblBorders>
                <w:top w:val="nil"/>
                <w:left w:val="nil"/>
                <w:bottom w:val="nil"/>
                <w:right w:val="nil"/>
                <w:insideH w:val="nil"/>
                <w:insideV w:val="nil"/>
              </w:tblBorders>
              <w:tblLayout w:type="fixed"/>
              <w:tblCellMar>
                <w:left w:w="35" w:type="dxa"/>
                <w:right w:w="35" w:type="dxa"/>
              </w:tblCellMar>
              <w:tblLook w:val="0000" w:firstRow="0" w:lastRow="0" w:firstColumn="0" w:lastColumn="0" w:noHBand="0" w:noVBand="0"/>
            </w:tblPr>
            <w:tblGrid>
              <w:gridCol w:w="685"/>
              <w:gridCol w:w="858"/>
              <w:gridCol w:w="608"/>
              <w:gridCol w:w="889"/>
              <w:gridCol w:w="983"/>
              <w:gridCol w:w="998"/>
              <w:gridCol w:w="671"/>
              <w:gridCol w:w="936"/>
              <w:gridCol w:w="796"/>
              <w:gridCol w:w="827"/>
              <w:gridCol w:w="577"/>
              <w:gridCol w:w="920"/>
              <w:gridCol w:w="811"/>
              <w:gridCol w:w="960"/>
            </w:tblGrid>
            <w:tr w:rsidR="009328C4" w:rsidRPr="00D15774" w:rsidTr="009328C4">
              <w:trPr>
                <w:trHeight w:hRule="exact" w:val="144"/>
                <w:jc w:val="center"/>
              </w:trPr>
              <w:tc>
                <w:tcPr>
                  <w:tcW w:w="685"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b w:val="0"/>
                      <w:sz w:val="16"/>
                    </w:rPr>
                  </w:pPr>
                </w:p>
              </w:tc>
              <w:tc>
                <w:tcPr>
                  <w:tcW w:w="85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60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89"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83"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9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67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3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79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2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57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2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1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6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r>
          </w:tbl>
          <w:p w:rsidR="009328C4" w:rsidRPr="00D15774" w:rsidRDefault="009328C4" w:rsidP="009328C4"/>
        </w:tc>
        <w:tc>
          <w:tcPr>
            <w:tcW w:w="458" w:type="pct"/>
            <w:shd w:val="clear" w:color="auto" w:fill="auto"/>
            <w:noWrap/>
          </w:tcPr>
          <w:tbl>
            <w:tblPr>
              <w:tblW w:w="11519" w:type="dxa"/>
              <w:jc w:val="center"/>
              <w:tblBorders>
                <w:top w:val="nil"/>
                <w:left w:val="nil"/>
                <w:bottom w:val="nil"/>
                <w:right w:val="nil"/>
                <w:insideH w:val="nil"/>
                <w:insideV w:val="nil"/>
              </w:tblBorders>
              <w:tblLayout w:type="fixed"/>
              <w:tblCellMar>
                <w:left w:w="35" w:type="dxa"/>
                <w:right w:w="35" w:type="dxa"/>
              </w:tblCellMar>
              <w:tblLook w:val="0000" w:firstRow="0" w:lastRow="0" w:firstColumn="0" w:lastColumn="0" w:noHBand="0" w:noVBand="0"/>
            </w:tblPr>
            <w:tblGrid>
              <w:gridCol w:w="685"/>
              <w:gridCol w:w="858"/>
              <w:gridCol w:w="608"/>
              <w:gridCol w:w="889"/>
              <w:gridCol w:w="983"/>
              <w:gridCol w:w="998"/>
              <w:gridCol w:w="671"/>
              <w:gridCol w:w="936"/>
              <w:gridCol w:w="796"/>
              <w:gridCol w:w="827"/>
              <w:gridCol w:w="577"/>
              <w:gridCol w:w="920"/>
              <w:gridCol w:w="811"/>
              <w:gridCol w:w="960"/>
            </w:tblGrid>
            <w:tr w:rsidR="009328C4" w:rsidRPr="00D15774" w:rsidTr="009328C4">
              <w:trPr>
                <w:trHeight w:hRule="exact" w:val="144"/>
                <w:jc w:val="center"/>
              </w:trPr>
              <w:tc>
                <w:tcPr>
                  <w:tcW w:w="685"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b w:val="0"/>
                      <w:sz w:val="16"/>
                    </w:rPr>
                  </w:pPr>
                </w:p>
              </w:tc>
              <w:tc>
                <w:tcPr>
                  <w:tcW w:w="85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60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89"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83"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9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67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3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79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2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57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2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1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6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r>
          </w:tbl>
          <w:p w:rsidR="009328C4" w:rsidRPr="00D15774" w:rsidRDefault="009328C4" w:rsidP="009328C4"/>
        </w:tc>
        <w:tc>
          <w:tcPr>
            <w:tcW w:w="229" w:type="pct"/>
          </w:tcPr>
          <w:tbl>
            <w:tblPr>
              <w:tblW w:w="11519" w:type="dxa"/>
              <w:jc w:val="center"/>
              <w:tblBorders>
                <w:top w:val="nil"/>
                <w:left w:val="nil"/>
                <w:bottom w:val="nil"/>
                <w:right w:val="nil"/>
                <w:insideH w:val="nil"/>
                <w:insideV w:val="nil"/>
              </w:tblBorders>
              <w:tblLayout w:type="fixed"/>
              <w:tblCellMar>
                <w:left w:w="35" w:type="dxa"/>
                <w:right w:w="35" w:type="dxa"/>
              </w:tblCellMar>
              <w:tblLook w:val="0000" w:firstRow="0" w:lastRow="0" w:firstColumn="0" w:lastColumn="0" w:noHBand="0" w:noVBand="0"/>
            </w:tblPr>
            <w:tblGrid>
              <w:gridCol w:w="685"/>
              <w:gridCol w:w="858"/>
              <w:gridCol w:w="608"/>
              <w:gridCol w:w="889"/>
              <w:gridCol w:w="983"/>
              <w:gridCol w:w="998"/>
              <w:gridCol w:w="671"/>
              <w:gridCol w:w="936"/>
              <w:gridCol w:w="796"/>
              <w:gridCol w:w="827"/>
              <w:gridCol w:w="577"/>
              <w:gridCol w:w="920"/>
              <w:gridCol w:w="811"/>
              <w:gridCol w:w="960"/>
            </w:tblGrid>
            <w:tr w:rsidR="009328C4" w:rsidRPr="00D15774" w:rsidTr="009328C4">
              <w:trPr>
                <w:trHeight w:hRule="exact" w:val="144"/>
                <w:jc w:val="center"/>
              </w:trPr>
              <w:tc>
                <w:tcPr>
                  <w:tcW w:w="685"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b w:val="0"/>
                      <w:sz w:val="16"/>
                    </w:rPr>
                  </w:pPr>
                </w:p>
              </w:tc>
              <w:tc>
                <w:tcPr>
                  <w:tcW w:w="85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60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89"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83"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9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67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3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79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2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57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2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1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6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r>
          </w:tbl>
          <w:p w:rsidR="009328C4" w:rsidRPr="00D15774" w:rsidRDefault="009328C4" w:rsidP="009328C4"/>
        </w:tc>
        <w:tc>
          <w:tcPr>
            <w:tcW w:w="496" w:type="pct"/>
          </w:tcPr>
          <w:tbl>
            <w:tblPr>
              <w:tblW w:w="11519" w:type="dxa"/>
              <w:jc w:val="center"/>
              <w:tblBorders>
                <w:top w:val="nil"/>
                <w:left w:val="nil"/>
                <w:bottom w:val="nil"/>
                <w:right w:val="nil"/>
                <w:insideH w:val="nil"/>
                <w:insideV w:val="nil"/>
              </w:tblBorders>
              <w:tblLayout w:type="fixed"/>
              <w:tblCellMar>
                <w:left w:w="35" w:type="dxa"/>
                <w:right w:w="35" w:type="dxa"/>
              </w:tblCellMar>
              <w:tblLook w:val="0000" w:firstRow="0" w:lastRow="0" w:firstColumn="0" w:lastColumn="0" w:noHBand="0" w:noVBand="0"/>
            </w:tblPr>
            <w:tblGrid>
              <w:gridCol w:w="685"/>
              <w:gridCol w:w="858"/>
              <w:gridCol w:w="608"/>
              <w:gridCol w:w="889"/>
              <w:gridCol w:w="983"/>
              <w:gridCol w:w="998"/>
              <w:gridCol w:w="671"/>
              <w:gridCol w:w="936"/>
              <w:gridCol w:w="796"/>
              <w:gridCol w:w="827"/>
              <w:gridCol w:w="577"/>
              <w:gridCol w:w="920"/>
              <w:gridCol w:w="811"/>
              <w:gridCol w:w="960"/>
            </w:tblGrid>
            <w:tr w:rsidR="009328C4" w:rsidRPr="00D15774" w:rsidTr="009328C4">
              <w:trPr>
                <w:trHeight w:hRule="exact" w:val="144"/>
                <w:jc w:val="center"/>
              </w:trPr>
              <w:tc>
                <w:tcPr>
                  <w:tcW w:w="685"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b w:val="0"/>
                      <w:sz w:val="16"/>
                    </w:rPr>
                  </w:pPr>
                </w:p>
              </w:tc>
              <w:tc>
                <w:tcPr>
                  <w:tcW w:w="85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60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89"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83"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9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67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3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79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2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57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2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1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6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r>
          </w:tbl>
          <w:p w:rsidR="009328C4" w:rsidRPr="00D15774" w:rsidRDefault="009328C4" w:rsidP="009328C4"/>
        </w:tc>
        <w:tc>
          <w:tcPr>
            <w:tcW w:w="573" w:type="pct"/>
          </w:tcPr>
          <w:tbl>
            <w:tblPr>
              <w:tblW w:w="11519" w:type="dxa"/>
              <w:jc w:val="center"/>
              <w:tblBorders>
                <w:top w:val="nil"/>
                <w:left w:val="nil"/>
                <w:bottom w:val="nil"/>
                <w:right w:val="nil"/>
                <w:insideH w:val="nil"/>
                <w:insideV w:val="nil"/>
              </w:tblBorders>
              <w:tblLayout w:type="fixed"/>
              <w:tblCellMar>
                <w:left w:w="35" w:type="dxa"/>
                <w:right w:w="35" w:type="dxa"/>
              </w:tblCellMar>
              <w:tblLook w:val="0000" w:firstRow="0" w:lastRow="0" w:firstColumn="0" w:lastColumn="0" w:noHBand="0" w:noVBand="0"/>
            </w:tblPr>
            <w:tblGrid>
              <w:gridCol w:w="685"/>
              <w:gridCol w:w="858"/>
              <w:gridCol w:w="608"/>
              <w:gridCol w:w="889"/>
              <w:gridCol w:w="983"/>
              <w:gridCol w:w="998"/>
              <w:gridCol w:w="671"/>
              <w:gridCol w:w="936"/>
              <w:gridCol w:w="796"/>
              <w:gridCol w:w="827"/>
              <w:gridCol w:w="577"/>
              <w:gridCol w:w="920"/>
              <w:gridCol w:w="811"/>
              <w:gridCol w:w="960"/>
            </w:tblGrid>
            <w:tr w:rsidR="009328C4" w:rsidRPr="00D15774" w:rsidTr="009328C4">
              <w:trPr>
                <w:trHeight w:hRule="exact" w:val="144"/>
                <w:jc w:val="center"/>
              </w:trPr>
              <w:tc>
                <w:tcPr>
                  <w:tcW w:w="685"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b w:val="0"/>
                      <w:sz w:val="16"/>
                    </w:rPr>
                  </w:pPr>
                </w:p>
              </w:tc>
              <w:tc>
                <w:tcPr>
                  <w:tcW w:w="85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60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89"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83"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9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67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3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79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2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57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2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1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6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r>
          </w:tbl>
          <w:p w:rsidR="009328C4" w:rsidRPr="00D15774" w:rsidRDefault="009328C4" w:rsidP="009328C4"/>
        </w:tc>
        <w:tc>
          <w:tcPr>
            <w:tcW w:w="419" w:type="pct"/>
            <w:shd w:val="clear" w:color="auto" w:fill="auto"/>
            <w:noWrap/>
          </w:tcPr>
          <w:tbl>
            <w:tblPr>
              <w:tblW w:w="11519" w:type="dxa"/>
              <w:jc w:val="center"/>
              <w:tblBorders>
                <w:top w:val="nil"/>
                <w:left w:val="nil"/>
                <w:bottom w:val="nil"/>
                <w:right w:val="nil"/>
                <w:insideH w:val="nil"/>
                <w:insideV w:val="nil"/>
              </w:tblBorders>
              <w:tblLayout w:type="fixed"/>
              <w:tblCellMar>
                <w:left w:w="35" w:type="dxa"/>
                <w:right w:w="35" w:type="dxa"/>
              </w:tblCellMar>
              <w:tblLook w:val="0000" w:firstRow="0" w:lastRow="0" w:firstColumn="0" w:lastColumn="0" w:noHBand="0" w:noVBand="0"/>
            </w:tblPr>
            <w:tblGrid>
              <w:gridCol w:w="685"/>
              <w:gridCol w:w="858"/>
              <w:gridCol w:w="608"/>
              <w:gridCol w:w="889"/>
              <w:gridCol w:w="983"/>
              <w:gridCol w:w="998"/>
              <w:gridCol w:w="671"/>
              <w:gridCol w:w="936"/>
              <w:gridCol w:w="796"/>
              <w:gridCol w:w="827"/>
              <w:gridCol w:w="577"/>
              <w:gridCol w:w="920"/>
              <w:gridCol w:w="811"/>
              <w:gridCol w:w="960"/>
            </w:tblGrid>
            <w:tr w:rsidR="009328C4" w:rsidRPr="00D15774" w:rsidTr="009328C4">
              <w:trPr>
                <w:trHeight w:hRule="exact" w:val="144"/>
                <w:jc w:val="center"/>
              </w:trPr>
              <w:tc>
                <w:tcPr>
                  <w:tcW w:w="685"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b w:val="0"/>
                      <w:sz w:val="16"/>
                    </w:rPr>
                  </w:pPr>
                </w:p>
              </w:tc>
              <w:tc>
                <w:tcPr>
                  <w:tcW w:w="85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60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89"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83"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9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67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3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79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2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57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2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1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6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r>
          </w:tbl>
          <w:p w:rsidR="009328C4" w:rsidRPr="00D15774" w:rsidRDefault="009328C4" w:rsidP="009328C4"/>
        </w:tc>
        <w:tc>
          <w:tcPr>
            <w:tcW w:w="267" w:type="pct"/>
            <w:shd w:val="clear" w:color="auto" w:fill="auto"/>
            <w:noWrap/>
          </w:tcPr>
          <w:tbl>
            <w:tblPr>
              <w:tblW w:w="11519" w:type="dxa"/>
              <w:jc w:val="center"/>
              <w:tblBorders>
                <w:top w:val="nil"/>
                <w:left w:val="nil"/>
                <w:bottom w:val="nil"/>
                <w:right w:val="nil"/>
                <w:insideH w:val="nil"/>
                <w:insideV w:val="nil"/>
              </w:tblBorders>
              <w:tblLayout w:type="fixed"/>
              <w:tblCellMar>
                <w:left w:w="35" w:type="dxa"/>
                <w:right w:w="35" w:type="dxa"/>
              </w:tblCellMar>
              <w:tblLook w:val="0000" w:firstRow="0" w:lastRow="0" w:firstColumn="0" w:lastColumn="0" w:noHBand="0" w:noVBand="0"/>
            </w:tblPr>
            <w:tblGrid>
              <w:gridCol w:w="685"/>
              <w:gridCol w:w="858"/>
              <w:gridCol w:w="608"/>
              <w:gridCol w:w="889"/>
              <w:gridCol w:w="983"/>
              <w:gridCol w:w="998"/>
              <w:gridCol w:w="671"/>
              <w:gridCol w:w="936"/>
              <w:gridCol w:w="796"/>
              <w:gridCol w:w="827"/>
              <w:gridCol w:w="577"/>
              <w:gridCol w:w="920"/>
              <w:gridCol w:w="811"/>
              <w:gridCol w:w="960"/>
            </w:tblGrid>
            <w:tr w:rsidR="009328C4" w:rsidRPr="00D15774" w:rsidTr="009328C4">
              <w:trPr>
                <w:trHeight w:hRule="exact" w:val="144"/>
                <w:jc w:val="center"/>
              </w:trPr>
              <w:tc>
                <w:tcPr>
                  <w:tcW w:w="685"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0"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center"/>
                    <w:rPr>
                      <w:rStyle w:val="FigureChar"/>
                      <w:rFonts w:ascii="Times New Roman" w:hAnsi="Times New Roman"/>
                      <w:b w:val="0"/>
                      <w:sz w:val="16"/>
                    </w:rPr>
                  </w:pPr>
                </w:p>
              </w:tc>
              <w:tc>
                <w:tcPr>
                  <w:tcW w:w="85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60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89"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83"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98"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67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3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796"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2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577"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2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811"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c>
                <w:tcPr>
                  <w:tcW w:w="960" w:type="dxa"/>
                  <w:tcBorders>
                    <w:top w:val="single" w:sz="10" w:space="0" w:color="000000"/>
                    <w:left w:val="single" w:sz="10" w:space="0" w:color="000000"/>
                    <w:bottom w:val="single" w:sz="10" w:space="0" w:color="000000"/>
                    <w:right w:val="single" w:sz="10" w:space="0" w:color="000000"/>
                  </w:tcBorders>
                  <w:shd w:val="solid" w:color="000000" w:fill="0000FF"/>
                  <w:tcMar>
                    <w:left w:w="0" w:type="dxa"/>
                    <w:right w:w="144" w:type="dxa"/>
                  </w:tcMar>
                  <w:vAlign w:val="bottom"/>
                </w:tcPr>
                <w:p w:rsidR="009328C4" w:rsidRPr="00D15774" w:rsidRDefault="009328C4" w:rsidP="00932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jc w:val="right"/>
                    <w:rPr>
                      <w:rStyle w:val="FigureChar"/>
                      <w:rFonts w:ascii="Times New Roman" w:hAnsi="Times New Roman"/>
                      <w:b w:val="0"/>
                      <w:sz w:val="16"/>
                    </w:rPr>
                  </w:pPr>
                </w:p>
              </w:tc>
            </w:tr>
          </w:tbl>
          <w:p w:rsidR="009328C4" w:rsidRPr="00D15774" w:rsidRDefault="009328C4" w:rsidP="009328C4"/>
        </w:tc>
      </w:tr>
      <w:tr w:rsidR="009757E2" w:rsidRPr="00D15774" w:rsidTr="009757E2">
        <w:trPr>
          <w:trHeight w:val="432"/>
        </w:trPr>
        <w:tc>
          <w:tcPr>
            <w:tcW w:w="305" w:type="pct"/>
            <w:shd w:val="clear" w:color="auto" w:fill="auto"/>
            <w:noWrap/>
            <w:vAlign w:val="bottom"/>
          </w:tcPr>
          <w:p w:rsidR="009328C4" w:rsidRPr="00D15774" w:rsidRDefault="009328C4" w:rsidP="009328C4">
            <w:pPr>
              <w:rPr>
                <w:sz w:val="16"/>
                <w:szCs w:val="16"/>
              </w:rPr>
            </w:pPr>
            <w:r w:rsidRPr="00D15774">
              <w:rPr>
                <w:sz w:val="16"/>
                <w:szCs w:val="16"/>
              </w:rPr>
              <w:t>Total JPAD</w:t>
            </w:r>
          </w:p>
        </w:tc>
        <w:tc>
          <w:tcPr>
            <w:tcW w:w="344" w:type="pct"/>
            <w:shd w:val="clear" w:color="auto" w:fill="auto"/>
            <w:noWrap/>
            <w:vAlign w:val="bottom"/>
          </w:tcPr>
          <w:p w:rsidR="009328C4" w:rsidRPr="00D15774" w:rsidRDefault="009328C4" w:rsidP="00915872">
            <w:pPr>
              <w:jc w:val="center"/>
              <w:rPr>
                <w:sz w:val="16"/>
                <w:szCs w:val="16"/>
              </w:rPr>
            </w:pPr>
            <w:r w:rsidRPr="00D15774">
              <w:rPr>
                <w:sz w:val="16"/>
                <w:szCs w:val="16"/>
              </w:rPr>
              <w:t>2,662</w:t>
            </w:r>
          </w:p>
        </w:tc>
        <w:tc>
          <w:tcPr>
            <w:tcW w:w="267" w:type="pct"/>
            <w:vAlign w:val="bottom"/>
          </w:tcPr>
          <w:p w:rsidR="009328C4" w:rsidRPr="00D15774" w:rsidRDefault="009328C4" w:rsidP="00915872">
            <w:pPr>
              <w:jc w:val="center"/>
              <w:rPr>
                <w:sz w:val="16"/>
                <w:szCs w:val="16"/>
              </w:rPr>
            </w:pPr>
            <w:r w:rsidRPr="00D15774">
              <w:rPr>
                <w:sz w:val="16"/>
                <w:szCs w:val="16"/>
              </w:rPr>
              <w:t>0</w:t>
            </w:r>
          </w:p>
        </w:tc>
        <w:tc>
          <w:tcPr>
            <w:tcW w:w="344" w:type="pct"/>
            <w:vAlign w:val="bottom"/>
          </w:tcPr>
          <w:p w:rsidR="009328C4" w:rsidRPr="00D15774" w:rsidRDefault="009328C4" w:rsidP="00915872">
            <w:pPr>
              <w:jc w:val="center"/>
              <w:rPr>
                <w:sz w:val="16"/>
                <w:szCs w:val="16"/>
              </w:rPr>
            </w:pPr>
            <w:r w:rsidRPr="00D15774">
              <w:rPr>
                <w:sz w:val="16"/>
                <w:szCs w:val="16"/>
              </w:rPr>
              <w:t>827</w:t>
            </w:r>
          </w:p>
        </w:tc>
        <w:tc>
          <w:tcPr>
            <w:tcW w:w="420" w:type="pct"/>
            <w:vAlign w:val="bottom"/>
          </w:tcPr>
          <w:p w:rsidR="009328C4" w:rsidRPr="00D15774" w:rsidRDefault="009328C4" w:rsidP="00915872">
            <w:pPr>
              <w:jc w:val="center"/>
              <w:rPr>
                <w:sz w:val="16"/>
                <w:szCs w:val="16"/>
              </w:rPr>
            </w:pPr>
            <w:r w:rsidRPr="00D15774">
              <w:rPr>
                <w:sz w:val="16"/>
                <w:szCs w:val="16"/>
              </w:rPr>
              <w:t>1,171</w:t>
            </w:r>
          </w:p>
        </w:tc>
        <w:tc>
          <w:tcPr>
            <w:tcW w:w="419" w:type="pct"/>
            <w:vAlign w:val="bottom"/>
          </w:tcPr>
          <w:p w:rsidR="009328C4" w:rsidRPr="00D15774" w:rsidRDefault="009328C4" w:rsidP="00915872">
            <w:pPr>
              <w:jc w:val="center"/>
              <w:rPr>
                <w:sz w:val="16"/>
                <w:szCs w:val="16"/>
              </w:rPr>
            </w:pPr>
            <w:r w:rsidRPr="00D15774">
              <w:rPr>
                <w:sz w:val="16"/>
                <w:szCs w:val="16"/>
              </w:rPr>
              <w:t>1,731</w:t>
            </w:r>
          </w:p>
        </w:tc>
        <w:tc>
          <w:tcPr>
            <w:tcW w:w="458" w:type="pct"/>
            <w:vAlign w:val="bottom"/>
          </w:tcPr>
          <w:p w:rsidR="009328C4" w:rsidRPr="00D15774" w:rsidRDefault="009328C4" w:rsidP="00915872">
            <w:pPr>
              <w:jc w:val="center"/>
              <w:rPr>
                <w:sz w:val="16"/>
                <w:szCs w:val="16"/>
              </w:rPr>
            </w:pPr>
            <w:r w:rsidRPr="00D15774">
              <w:rPr>
                <w:sz w:val="16"/>
                <w:szCs w:val="16"/>
              </w:rPr>
              <w:t>2,935</w:t>
            </w:r>
          </w:p>
        </w:tc>
        <w:tc>
          <w:tcPr>
            <w:tcW w:w="458" w:type="pct"/>
            <w:shd w:val="clear" w:color="auto" w:fill="auto"/>
            <w:noWrap/>
            <w:vAlign w:val="bottom"/>
          </w:tcPr>
          <w:p w:rsidR="009328C4" w:rsidRPr="00D15774" w:rsidRDefault="009328C4" w:rsidP="00915872">
            <w:pPr>
              <w:jc w:val="center"/>
              <w:rPr>
                <w:sz w:val="16"/>
                <w:szCs w:val="16"/>
              </w:rPr>
            </w:pPr>
            <w:r w:rsidRPr="00D15774">
              <w:rPr>
                <w:sz w:val="16"/>
                <w:szCs w:val="16"/>
              </w:rPr>
              <w:t>231</w:t>
            </w:r>
          </w:p>
        </w:tc>
        <w:tc>
          <w:tcPr>
            <w:tcW w:w="229" w:type="pct"/>
            <w:vAlign w:val="bottom"/>
          </w:tcPr>
          <w:p w:rsidR="009328C4" w:rsidRPr="00D15774" w:rsidRDefault="009328C4" w:rsidP="00915872">
            <w:pPr>
              <w:jc w:val="center"/>
              <w:rPr>
                <w:sz w:val="16"/>
                <w:szCs w:val="16"/>
              </w:rPr>
            </w:pPr>
            <w:r w:rsidRPr="00D15774">
              <w:rPr>
                <w:sz w:val="16"/>
                <w:szCs w:val="16"/>
              </w:rPr>
              <w:t>391</w:t>
            </w:r>
          </w:p>
        </w:tc>
        <w:tc>
          <w:tcPr>
            <w:tcW w:w="496" w:type="pct"/>
            <w:vAlign w:val="bottom"/>
          </w:tcPr>
          <w:p w:rsidR="009328C4" w:rsidRPr="00D15774" w:rsidRDefault="009328C4" w:rsidP="00915872">
            <w:pPr>
              <w:jc w:val="center"/>
              <w:rPr>
                <w:sz w:val="16"/>
                <w:szCs w:val="16"/>
              </w:rPr>
            </w:pPr>
            <w:r w:rsidRPr="00D15774">
              <w:rPr>
                <w:sz w:val="16"/>
                <w:szCs w:val="16"/>
              </w:rPr>
              <w:t>217</w:t>
            </w:r>
          </w:p>
        </w:tc>
        <w:tc>
          <w:tcPr>
            <w:tcW w:w="573" w:type="pct"/>
            <w:vAlign w:val="bottom"/>
          </w:tcPr>
          <w:p w:rsidR="009328C4" w:rsidRPr="00D15774" w:rsidRDefault="009328C4" w:rsidP="00915872">
            <w:pPr>
              <w:jc w:val="center"/>
              <w:rPr>
                <w:sz w:val="16"/>
                <w:szCs w:val="16"/>
              </w:rPr>
            </w:pPr>
            <w:r w:rsidRPr="00D15774">
              <w:rPr>
                <w:sz w:val="16"/>
                <w:szCs w:val="16"/>
              </w:rPr>
              <w:t>0</w:t>
            </w:r>
          </w:p>
        </w:tc>
        <w:tc>
          <w:tcPr>
            <w:tcW w:w="419" w:type="pct"/>
            <w:shd w:val="clear" w:color="auto" w:fill="auto"/>
            <w:noWrap/>
            <w:vAlign w:val="bottom"/>
          </w:tcPr>
          <w:p w:rsidR="009328C4" w:rsidRPr="00D15774" w:rsidRDefault="009328C4" w:rsidP="00915872">
            <w:pPr>
              <w:jc w:val="center"/>
              <w:rPr>
                <w:sz w:val="16"/>
                <w:szCs w:val="16"/>
              </w:rPr>
            </w:pPr>
            <w:r w:rsidRPr="00D15774">
              <w:rPr>
                <w:sz w:val="16"/>
                <w:szCs w:val="16"/>
              </w:rPr>
              <w:t>602</w:t>
            </w:r>
          </w:p>
        </w:tc>
        <w:tc>
          <w:tcPr>
            <w:tcW w:w="267" w:type="pct"/>
            <w:shd w:val="clear" w:color="auto" w:fill="auto"/>
            <w:noWrap/>
            <w:vAlign w:val="bottom"/>
          </w:tcPr>
          <w:p w:rsidR="009328C4" w:rsidRPr="00D15774" w:rsidRDefault="009328C4" w:rsidP="00915872">
            <w:pPr>
              <w:jc w:val="center"/>
              <w:rPr>
                <w:sz w:val="16"/>
                <w:szCs w:val="16"/>
              </w:rPr>
            </w:pPr>
            <w:r w:rsidRPr="00D15774">
              <w:rPr>
                <w:sz w:val="16"/>
                <w:szCs w:val="16"/>
              </w:rPr>
              <w:t>10,766</w:t>
            </w:r>
          </w:p>
        </w:tc>
      </w:tr>
      <w:tr w:rsidR="009757E2" w:rsidRPr="00D15774" w:rsidTr="009757E2">
        <w:trPr>
          <w:trHeight w:val="585"/>
        </w:trPr>
        <w:tc>
          <w:tcPr>
            <w:tcW w:w="305" w:type="pct"/>
            <w:shd w:val="clear" w:color="auto" w:fill="auto"/>
            <w:noWrap/>
            <w:vAlign w:val="bottom"/>
          </w:tcPr>
          <w:p w:rsidR="009328C4" w:rsidRPr="00D15774" w:rsidRDefault="009328C4" w:rsidP="009328C4">
            <w:pPr>
              <w:rPr>
                <w:sz w:val="16"/>
                <w:szCs w:val="16"/>
              </w:rPr>
            </w:pPr>
            <w:r w:rsidRPr="00D15774">
              <w:rPr>
                <w:sz w:val="16"/>
                <w:szCs w:val="16"/>
              </w:rPr>
              <w:t>Total</w:t>
            </w:r>
          </w:p>
          <w:p w:rsidR="009328C4" w:rsidRPr="00D15774" w:rsidRDefault="009328C4" w:rsidP="009328C4">
            <w:pPr>
              <w:rPr>
                <w:sz w:val="16"/>
                <w:szCs w:val="16"/>
              </w:rPr>
            </w:pPr>
            <w:r w:rsidRPr="00D15774">
              <w:rPr>
                <w:sz w:val="16"/>
                <w:szCs w:val="16"/>
              </w:rPr>
              <w:t xml:space="preserve">Non-JPAD </w:t>
            </w:r>
          </w:p>
        </w:tc>
        <w:tc>
          <w:tcPr>
            <w:tcW w:w="344" w:type="pct"/>
            <w:shd w:val="clear" w:color="auto" w:fill="auto"/>
            <w:noWrap/>
            <w:vAlign w:val="bottom"/>
          </w:tcPr>
          <w:p w:rsidR="009328C4" w:rsidRPr="00D15774" w:rsidRDefault="009328C4" w:rsidP="00915872">
            <w:pPr>
              <w:jc w:val="center"/>
              <w:rPr>
                <w:sz w:val="16"/>
                <w:szCs w:val="16"/>
              </w:rPr>
            </w:pPr>
            <w:r w:rsidRPr="00D15774">
              <w:rPr>
                <w:sz w:val="16"/>
                <w:szCs w:val="16"/>
              </w:rPr>
              <w:t>28,597</w:t>
            </w:r>
          </w:p>
        </w:tc>
        <w:tc>
          <w:tcPr>
            <w:tcW w:w="267" w:type="pct"/>
            <w:vAlign w:val="bottom"/>
          </w:tcPr>
          <w:p w:rsidR="009328C4" w:rsidRPr="00D15774" w:rsidRDefault="009328C4" w:rsidP="00915872">
            <w:pPr>
              <w:jc w:val="center"/>
              <w:rPr>
                <w:sz w:val="16"/>
                <w:szCs w:val="16"/>
              </w:rPr>
            </w:pPr>
            <w:r w:rsidRPr="00D15774">
              <w:rPr>
                <w:sz w:val="16"/>
                <w:szCs w:val="16"/>
              </w:rPr>
              <w:t>1,659</w:t>
            </w:r>
          </w:p>
        </w:tc>
        <w:tc>
          <w:tcPr>
            <w:tcW w:w="344" w:type="pct"/>
            <w:vAlign w:val="bottom"/>
          </w:tcPr>
          <w:p w:rsidR="009328C4" w:rsidRPr="00D15774" w:rsidRDefault="009328C4" w:rsidP="00915872">
            <w:pPr>
              <w:jc w:val="center"/>
              <w:rPr>
                <w:sz w:val="16"/>
                <w:szCs w:val="16"/>
              </w:rPr>
            </w:pPr>
            <w:r w:rsidRPr="00D15774">
              <w:rPr>
                <w:sz w:val="16"/>
                <w:szCs w:val="16"/>
              </w:rPr>
              <w:t>22,197</w:t>
            </w:r>
          </w:p>
        </w:tc>
        <w:tc>
          <w:tcPr>
            <w:tcW w:w="420" w:type="pct"/>
            <w:vAlign w:val="bottom"/>
          </w:tcPr>
          <w:p w:rsidR="009328C4" w:rsidRPr="00D15774" w:rsidRDefault="009328C4" w:rsidP="00915872">
            <w:pPr>
              <w:jc w:val="center"/>
              <w:rPr>
                <w:sz w:val="16"/>
                <w:szCs w:val="16"/>
              </w:rPr>
            </w:pPr>
            <w:r w:rsidRPr="00D15774">
              <w:rPr>
                <w:sz w:val="16"/>
                <w:szCs w:val="16"/>
              </w:rPr>
              <w:t>15,138</w:t>
            </w:r>
          </w:p>
        </w:tc>
        <w:tc>
          <w:tcPr>
            <w:tcW w:w="419" w:type="pct"/>
            <w:vAlign w:val="bottom"/>
          </w:tcPr>
          <w:p w:rsidR="009328C4" w:rsidRPr="00D15774" w:rsidRDefault="009328C4" w:rsidP="00915872">
            <w:pPr>
              <w:jc w:val="center"/>
              <w:rPr>
                <w:sz w:val="16"/>
                <w:szCs w:val="16"/>
              </w:rPr>
            </w:pPr>
            <w:r w:rsidRPr="00D15774">
              <w:rPr>
                <w:sz w:val="16"/>
                <w:szCs w:val="16"/>
              </w:rPr>
              <w:t>4,262</w:t>
            </w:r>
          </w:p>
        </w:tc>
        <w:tc>
          <w:tcPr>
            <w:tcW w:w="458" w:type="pct"/>
            <w:vAlign w:val="bottom"/>
          </w:tcPr>
          <w:p w:rsidR="009328C4" w:rsidRPr="00D15774" w:rsidRDefault="009328C4" w:rsidP="00915872">
            <w:pPr>
              <w:jc w:val="center"/>
              <w:rPr>
                <w:sz w:val="16"/>
                <w:szCs w:val="16"/>
              </w:rPr>
            </w:pPr>
            <w:r w:rsidRPr="00D15774">
              <w:rPr>
                <w:sz w:val="16"/>
                <w:szCs w:val="16"/>
              </w:rPr>
              <w:t>6,675</w:t>
            </w:r>
          </w:p>
        </w:tc>
        <w:tc>
          <w:tcPr>
            <w:tcW w:w="458" w:type="pct"/>
            <w:shd w:val="clear" w:color="auto" w:fill="auto"/>
            <w:noWrap/>
            <w:vAlign w:val="bottom"/>
          </w:tcPr>
          <w:p w:rsidR="009328C4" w:rsidRPr="00D15774" w:rsidRDefault="009328C4" w:rsidP="00915872">
            <w:pPr>
              <w:jc w:val="center"/>
              <w:rPr>
                <w:sz w:val="16"/>
                <w:szCs w:val="16"/>
              </w:rPr>
            </w:pPr>
            <w:r w:rsidRPr="00D15774">
              <w:rPr>
                <w:sz w:val="16"/>
                <w:szCs w:val="16"/>
              </w:rPr>
              <w:t>1,322</w:t>
            </w:r>
          </w:p>
        </w:tc>
        <w:tc>
          <w:tcPr>
            <w:tcW w:w="229" w:type="pct"/>
            <w:vAlign w:val="bottom"/>
          </w:tcPr>
          <w:p w:rsidR="009328C4" w:rsidRPr="00D15774" w:rsidRDefault="009328C4" w:rsidP="00915872">
            <w:pPr>
              <w:jc w:val="center"/>
              <w:rPr>
                <w:sz w:val="16"/>
                <w:szCs w:val="16"/>
              </w:rPr>
            </w:pPr>
            <w:r w:rsidRPr="00D15774">
              <w:rPr>
                <w:sz w:val="16"/>
                <w:szCs w:val="16"/>
              </w:rPr>
              <w:t>205</w:t>
            </w:r>
          </w:p>
        </w:tc>
        <w:tc>
          <w:tcPr>
            <w:tcW w:w="496" w:type="pct"/>
            <w:vAlign w:val="bottom"/>
          </w:tcPr>
          <w:p w:rsidR="009328C4" w:rsidRPr="00D15774" w:rsidRDefault="009328C4" w:rsidP="00915872">
            <w:pPr>
              <w:jc w:val="center"/>
              <w:rPr>
                <w:sz w:val="16"/>
                <w:szCs w:val="16"/>
              </w:rPr>
            </w:pPr>
            <w:r w:rsidRPr="00D15774">
              <w:rPr>
                <w:sz w:val="16"/>
                <w:szCs w:val="16"/>
              </w:rPr>
              <w:t>529</w:t>
            </w:r>
          </w:p>
        </w:tc>
        <w:tc>
          <w:tcPr>
            <w:tcW w:w="573" w:type="pct"/>
            <w:vAlign w:val="bottom"/>
          </w:tcPr>
          <w:p w:rsidR="009328C4" w:rsidRPr="00D15774" w:rsidRDefault="009328C4" w:rsidP="00915872">
            <w:pPr>
              <w:jc w:val="center"/>
              <w:rPr>
                <w:sz w:val="16"/>
                <w:szCs w:val="16"/>
              </w:rPr>
            </w:pPr>
            <w:r w:rsidRPr="00D15774">
              <w:rPr>
                <w:sz w:val="16"/>
                <w:szCs w:val="16"/>
              </w:rPr>
              <w:t>508</w:t>
            </w:r>
          </w:p>
        </w:tc>
        <w:tc>
          <w:tcPr>
            <w:tcW w:w="419" w:type="pct"/>
            <w:shd w:val="clear" w:color="auto" w:fill="auto"/>
            <w:noWrap/>
            <w:vAlign w:val="bottom"/>
          </w:tcPr>
          <w:p w:rsidR="009328C4" w:rsidRPr="00D15774" w:rsidRDefault="009328C4" w:rsidP="00915872">
            <w:pPr>
              <w:jc w:val="center"/>
              <w:rPr>
                <w:sz w:val="16"/>
                <w:szCs w:val="16"/>
              </w:rPr>
            </w:pPr>
            <w:r w:rsidRPr="00D15774">
              <w:rPr>
                <w:sz w:val="16"/>
                <w:szCs w:val="16"/>
              </w:rPr>
              <w:t>2,154</w:t>
            </w:r>
          </w:p>
        </w:tc>
        <w:tc>
          <w:tcPr>
            <w:tcW w:w="267" w:type="pct"/>
            <w:shd w:val="clear" w:color="auto" w:fill="auto"/>
            <w:noWrap/>
            <w:vAlign w:val="bottom"/>
          </w:tcPr>
          <w:p w:rsidR="009328C4" w:rsidRPr="00D15774" w:rsidRDefault="009328C4" w:rsidP="00915872">
            <w:pPr>
              <w:jc w:val="center"/>
              <w:rPr>
                <w:sz w:val="16"/>
                <w:szCs w:val="16"/>
              </w:rPr>
            </w:pPr>
            <w:r w:rsidRPr="00D15774">
              <w:rPr>
                <w:sz w:val="16"/>
                <w:szCs w:val="16"/>
              </w:rPr>
              <w:t>83,247</w:t>
            </w:r>
          </w:p>
        </w:tc>
      </w:tr>
    </w:tbl>
    <w:p w:rsidR="003E7EF1" w:rsidRPr="00D15774" w:rsidRDefault="003E7EF1" w:rsidP="003E7EF1"/>
    <w:p w:rsidR="00BF6DB9" w:rsidRPr="00D15774" w:rsidRDefault="00BF6DB9" w:rsidP="00BF6D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In the </w:t>
      </w:r>
      <w:r w:rsidR="001F1D94" w:rsidRPr="00D15774">
        <w:t xml:space="preserve">SW Wyoming (Greater Green River) Basin </w:t>
      </w:r>
      <w:r w:rsidR="00915872" w:rsidRPr="00D15774">
        <w:t>tanks</w:t>
      </w:r>
      <w:r w:rsidR="001F1D94" w:rsidRPr="00D15774">
        <w:t xml:space="preserve"> comprise </w:t>
      </w:r>
      <w:r w:rsidR="00915872" w:rsidRPr="00D15774">
        <w:t xml:space="preserve">more than </w:t>
      </w:r>
      <w:r w:rsidR="001F1D94" w:rsidRPr="00D15774">
        <w:t>a third</w:t>
      </w:r>
      <w:r w:rsidR="00A84A92" w:rsidRPr="00D15774">
        <w:t xml:space="preserve"> (35%</w:t>
      </w:r>
      <w:r w:rsidR="00915872" w:rsidRPr="00D15774">
        <w:t>)</w:t>
      </w:r>
      <w:r w:rsidR="001F1D94" w:rsidRPr="00D15774">
        <w:t xml:space="preserve"> of the VOC emissions</w:t>
      </w:r>
      <w:r w:rsidR="00261CEE" w:rsidRPr="00D15774">
        <w:t xml:space="preserve"> [condensate-33% &amp; oil-2%]</w:t>
      </w:r>
      <w:r w:rsidR="001F1D94" w:rsidRPr="00D15774">
        <w:t xml:space="preserve">, followed by 24% from fugitive emissions, </w:t>
      </w:r>
      <w:r w:rsidR="0034520F" w:rsidRPr="00D15774">
        <w:t xml:space="preserve">23% </w:t>
      </w:r>
      <w:r w:rsidR="00261CEE" w:rsidRPr="00D15774">
        <w:t xml:space="preserve">from pneumatic </w:t>
      </w:r>
      <w:r w:rsidR="00261CEE" w:rsidRPr="00D15774">
        <w:lastRenderedPageBreak/>
        <w:t>devices [</w:t>
      </w:r>
      <w:r w:rsidR="0034520F" w:rsidRPr="00D15774">
        <w:t>17%</w:t>
      </w:r>
      <w:r w:rsidR="00261CEE" w:rsidRPr="00D15774">
        <w:t>-</w:t>
      </w:r>
      <w:r w:rsidR="0034520F" w:rsidRPr="00D15774">
        <w:t>controller</w:t>
      </w:r>
      <w:r w:rsidR="0059418E" w:rsidRPr="00D15774">
        <w:t xml:space="preserve">s </w:t>
      </w:r>
      <w:r w:rsidR="00261CEE" w:rsidRPr="00D15774">
        <w:t>&amp;</w:t>
      </w:r>
      <w:r w:rsidR="0059418E" w:rsidRPr="00D15774">
        <w:t xml:space="preserve"> 6%</w:t>
      </w:r>
      <w:r w:rsidR="00261CEE" w:rsidRPr="00D15774">
        <w:t>-</w:t>
      </w:r>
      <w:r w:rsidR="0059418E" w:rsidRPr="00D15774">
        <w:t>pneumatic pumps</w:t>
      </w:r>
      <w:r w:rsidR="00261CEE" w:rsidRPr="00D15774">
        <w:t>]</w:t>
      </w:r>
      <w:r w:rsidR="0059418E" w:rsidRPr="00D15774">
        <w:t xml:space="preserve"> and </w:t>
      </w:r>
      <w:r w:rsidR="0034520F" w:rsidRPr="00D15774">
        <w:t>1</w:t>
      </w:r>
      <w:r w:rsidR="001F1D94" w:rsidRPr="00D15774">
        <w:t>0</w:t>
      </w:r>
      <w:r w:rsidRPr="00D15774">
        <w:t xml:space="preserve">% from </w:t>
      </w:r>
      <w:r w:rsidR="001F1D94" w:rsidRPr="00D15774">
        <w:t>dehydrators</w:t>
      </w:r>
      <w:r w:rsidRPr="00D15774">
        <w:t>.</w:t>
      </w:r>
      <w:r w:rsidR="0034520F" w:rsidRPr="00D15774">
        <w:t xml:space="preserve">  </w:t>
      </w:r>
      <w:r w:rsidR="00010633" w:rsidRPr="00D15774">
        <w:t>Negligible emissions come from compressor engines (2%), drill rigs (1%) and v</w:t>
      </w:r>
      <w:r w:rsidR="0034520F" w:rsidRPr="00D15774">
        <w:t xml:space="preserve">enting </w:t>
      </w:r>
      <w:r w:rsidR="00010633" w:rsidRPr="00D15774">
        <w:t>(</w:t>
      </w:r>
      <w:r w:rsidR="0034520F" w:rsidRPr="00D15774">
        <w:t>initial</w:t>
      </w:r>
      <w:r w:rsidR="00010633" w:rsidRPr="00D15774">
        <w:t>- 1%</w:t>
      </w:r>
      <w:r w:rsidR="0034520F" w:rsidRPr="00D15774">
        <w:t xml:space="preserve"> and recompletions</w:t>
      </w:r>
      <w:r w:rsidR="00010633" w:rsidRPr="00D15774">
        <w:t xml:space="preserve"> 1%) in the basin.</w:t>
      </w:r>
    </w:p>
    <w:p w:rsidR="001F1D94" w:rsidRPr="00D15774" w:rsidRDefault="001F1D94" w:rsidP="00BF6D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AA0C1D" w:rsidRPr="00D15774" w:rsidRDefault="00BF6DB9" w:rsidP="00AA0C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Style w:val="FigureChar"/>
          <w:rFonts w:ascii="Times New Roman" w:hAnsi="Times New Roman"/>
          <w:b w:val="0"/>
          <w:sz w:val="24"/>
        </w:rPr>
      </w:pPr>
      <w:r w:rsidRPr="00D15774">
        <w:t xml:space="preserve">The </w:t>
      </w:r>
      <w:r w:rsidR="001F1D94" w:rsidRPr="00D15774">
        <w:rPr>
          <w:rStyle w:val="FigureChar"/>
          <w:rFonts w:ascii="Times New Roman" w:hAnsi="Times New Roman"/>
          <w:b w:val="0"/>
          <w:sz w:val="24"/>
        </w:rPr>
        <w:t>Subpart OOOO regulation require</w:t>
      </w:r>
      <w:r w:rsidR="008E0B70" w:rsidRPr="00D15774">
        <w:rPr>
          <w:rStyle w:val="FigureChar"/>
          <w:rFonts w:ascii="Times New Roman" w:hAnsi="Times New Roman"/>
          <w:b w:val="0"/>
          <w:sz w:val="24"/>
        </w:rPr>
        <w:t>s</w:t>
      </w:r>
      <w:r w:rsidR="001F1D94" w:rsidRPr="00D15774">
        <w:rPr>
          <w:rStyle w:val="FigureChar"/>
          <w:rFonts w:ascii="Times New Roman" w:hAnsi="Times New Roman"/>
          <w:b w:val="0"/>
          <w:sz w:val="24"/>
        </w:rPr>
        <w:t xml:space="preserve"> condensate tanks </w:t>
      </w:r>
      <w:r w:rsidR="0096580F" w:rsidRPr="00D15774">
        <w:t>constructed or modified after August 23, 2011, with 6 tpy of  uncontrolled emissions</w:t>
      </w:r>
      <w:r w:rsidR="0096580F" w:rsidRPr="00D15774">
        <w:rPr>
          <w:rStyle w:val="FigureChar"/>
          <w:rFonts w:ascii="Times New Roman" w:hAnsi="Times New Roman"/>
          <w:b w:val="0"/>
          <w:sz w:val="24"/>
        </w:rPr>
        <w:t xml:space="preserve"> </w:t>
      </w:r>
      <w:r w:rsidR="001F1D94" w:rsidRPr="00D15774">
        <w:rPr>
          <w:rStyle w:val="FigureChar"/>
          <w:rFonts w:ascii="Times New Roman" w:hAnsi="Times New Roman"/>
          <w:b w:val="0"/>
          <w:sz w:val="24"/>
        </w:rPr>
        <w:t xml:space="preserve">to reduce VOC by 95%. </w:t>
      </w:r>
      <w:r w:rsidR="0096580F" w:rsidRPr="00D15774">
        <w:t xml:space="preserve"> The Wyoming Chapter 6 Section 2 O&amp;G Permitting Guidance requires 98% control on startup/modification for all tanks in the JAPD area.  In CDAs all tanks at multiple well facilities must be controlled by 98% upon startup/modification</w:t>
      </w:r>
      <w:r w:rsidR="0059418E" w:rsidRPr="00D15774">
        <w:t xml:space="preserve"> as well</w:t>
      </w:r>
      <w:r w:rsidR="0096580F" w:rsidRPr="00D15774">
        <w:t xml:space="preserve">.  Also, in CDAs all tanks at single well facilities with ≥8 tpy VOC must be controlled by 98% within 60 days of startup/modification.  At other facilities statewide, all tanks with ≥10 tpy VOC must be controlled by 98% within 60 days of startup/modification.  Thus the effect of Subpart OOOO </w:t>
      </w:r>
      <w:r w:rsidR="008E0B70" w:rsidRPr="00D15774">
        <w:t xml:space="preserve">on tank VOC </w:t>
      </w:r>
      <w:r w:rsidR="00261CEE" w:rsidRPr="00D15774">
        <w:t xml:space="preserve">emissions </w:t>
      </w:r>
      <w:r w:rsidR="0096580F" w:rsidRPr="00D15774">
        <w:t xml:space="preserve">will be minimized in </w:t>
      </w:r>
      <w:r w:rsidR="00261CEE" w:rsidRPr="00D15774">
        <w:t xml:space="preserve">future emission inventories for </w:t>
      </w:r>
      <w:r w:rsidR="0096580F" w:rsidRPr="00D15774">
        <w:t xml:space="preserve">the </w:t>
      </w:r>
      <w:r w:rsidR="009328C4" w:rsidRPr="00D15774">
        <w:t xml:space="preserve">SW Wyoming (Greater Green River) Basin </w:t>
      </w:r>
      <w:r w:rsidR="0096580F" w:rsidRPr="00D15774">
        <w:t>by existing Wyoming regulations</w:t>
      </w:r>
      <w:r w:rsidR="00AA0C1D" w:rsidRPr="00D15774">
        <w:t>.</w:t>
      </w:r>
      <w:r w:rsidR="00AA0C1D" w:rsidRPr="00D15774">
        <w:rPr>
          <w:rStyle w:val="FigureChar"/>
          <w:rFonts w:ascii="Times New Roman" w:hAnsi="Times New Roman"/>
          <w:b w:val="0"/>
          <w:sz w:val="24"/>
        </w:rPr>
        <w:t xml:space="preserve"> </w:t>
      </w:r>
    </w:p>
    <w:p w:rsidR="00AA0C1D" w:rsidRPr="00D15774" w:rsidRDefault="00AA0C1D" w:rsidP="00AA0C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Style w:val="FigureChar"/>
          <w:rFonts w:ascii="Times New Roman" w:hAnsi="Times New Roman"/>
          <w:b w:val="0"/>
          <w:sz w:val="24"/>
        </w:rPr>
      </w:pPr>
    </w:p>
    <w:p w:rsidR="00AA0C1D" w:rsidRPr="00D15774" w:rsidRDefault="00AA0C1D" w:rsidP="00AA0C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Style w:val="FigureChar"/>
          <w:rFonts w:ascii="Times New Roman" w:hAnsi="Times New Roman"/>
          <w:b w:val="0"/>
          <w:sz w:val="24"/>
        </w:rPr>
      </w:pPr>
      <w:r w:rsidRPr="00D15774">
        <w:rPr>
          <w:rStyle w:val="FigureChar"/>
          <w:rFonts w:ascii="Times New Roman" w:hAnsi="Times New Roman"/>
          <w:b w:val="0"/>
          <w:sz w:val="24"/>
        </w:rPr>
        <w:t>As noted earlier, the new regulations do not address unpermitted fugitive emissions.</w:t>
      </w:r>
    </w:p>
    <w:p w:rsidR="00AA0C1D" w:rsidRPr="00D15774" w:rsidRDefault="00AA0C1D" w:rsidP="001F1D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Style w:val="FigureChar"/>
          <w:rFonts w:ascii="Times New Roman" w:hAnsi="Times New Roman"/>
          <w:b w:val="0"/>
          <w:sz w:val="24"/>
        </w:rPr>
      </w:pPr>
    </w:p>
    <w:p w:rsidR="0034520F" w:rsidRPr="00D15774" w:rsidRDefault="0059418E" w:rsidP="00AA0C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Regarding pneumatic devices, t</w:t>
      </w:r>
      <w:r w:rsidR="00AA0C1D" w:rsidRPr="00D15774">
        <w:t xml:space="preserve">he new regulations of NSPS Subpart OOOO </w:t>
      </w:r>
      <w:r w:rsidRPr="00D15774">
        <w:t xml:space="preserve">address VOC emissions by </w:t>
      </w:r>
      <w:r w:rsidR="00AA0C1D" w:rsidRPr="00D15774">
        <w:t xml:space="preserve">allowing no VOC emissions from devices located at gas processing plants, while devices at other sites would be </w:t>
      </w:r>
      <w:r w:rsidRPr="00D15774">
        <w:t xml:space="preserve">required to use low bleed devices </w:t>
      </w:r>
      <w:r w:rsidR="00AA0C1D" w:rsidRPr="00D15774">
        <w:t>limited to emissions of 6 ft</w:t>
      </w:r>
      <w:r w:rsidR="00AA0C1D" w:rsidRPr="00D15774">
        <w:rPr>
          <w:vertAlign w:val="superscript"/>
        </w:rPr>
        <w:t>3</w:t>
      </w:r>
      <w:r w:rsidR="00AA0C1D" w:rsidRPr="00D15774">
        <w:t>/day</w:t>
      </w:r>
      <w:r w:rsidR="0034520F" w:rsidRPr="00D15774">
        <w:t xml:space="preserve">. </w:t>
      </w:r>
      <w:r w:rsidR="00AA0C1D" w:rsidRPr="00D15774">
        <w:t xml:space="preserve"> Chapter 6 Section 2 O&amp;G Permitting Guidance, already requires installation of low or no-bleed at all new facilities.  Upon modification of facilities, new pneumatic controllers must be low/no-bleed and existing controllers must be replaced with no/low-bleed. (well site facilities only - not gas plants).  </w:t>
      </w:r>
      <w:r w:rsidR="0034520F" w:rsidRPr="00D15774">
        <w:t>This is essentially equivalent to the Subpart OOOO requirement</w:t>
      </w:r>
      <w:r w:rsidR="00261CEE" w:rsidRPr="00D15774">
        <w:t>.  T</w:t>
      </w:r>
      <w:r w:rsidR="00AA0C1D" w:rsidRPr="00D15774">
        <w:t xml:space="preserve">hus the impact of Subpart OOOO on pneumatic emissions would be minimized in </w:t>
      </w:r>
      <w:r w:rsidR="00261CEE" w:rsidRPr="00D15774">
        <w:t xml:space="preserve">future emission inventories for </w:t>
      </w:r>
      <w:r w:rsidR="00AA0C1D" w:rsidRPr="00D15774">
        <w:t xml:space="preserve">the </w:t>
      </w:r>
      <w:r w:rsidR="0034520F" w:rsidRPr="00D15774">
        <w:t>SW Wyoming (Greater Green River) Basin</w:t>
      </w:r>
      <w:r w:rsidR="00271494" w:rsidRPr="00D15774">
        <w:t xml:space="preserve"> by existing Wyoming regulations.</w:t>
      </w:r>
    </w:p>
    <w:p w:rsidR="0034520F" w:rsidRPr="00D15774" w:rsidRDefault="0034520F" w:rsidP="0034520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34520F" w:rsidRPr="00D15774" w:rsidRDefault="0034520F" w:rsidP="00010633">
      <w:pPr>
        <w:widowControl w:val="0"/>
        <w:spacing w:line="300" w:lineRule="auto"/>
      </w:pPr>
      <w:r w:rsidRPr="00D15774">
        <w:t>Rega</w:t>
      </w:r>
      <w:r w:rsidR="00010633" w:rsidRPr="00D15774">
        <w:t xml:space="preserve">rding glycol dehydrators, EPA previously proposed to remove the 1 ton per year benzene compliance option for large glycol dehydrators, but with the revised risk analysis, the final rule retained this 1 TPY option for large dehydrators.  If annual benzene emissions don’t meet the 1 TPY threshold, </w:t>
      </w:r>
      <w:r w:rsidR="0059418E" w:rsidRPr="00D15774">
        <w:t>u</w:t>
      </w:r>
      <w:r w:rsidR="00010633" w:rsidRPr="00D15774">
        <w:t xml:space="preserve">nder Subpart OOOO the large dehydrators would have to reduce air toxics their emissions by 95 percent.  </w:t>
      </w:r>
      <w:r w:rsidRPr="00D15774">
        <w:t xml:space="preserve">In Wyoming </w:t>
      </w:r>
      <w:r w:rsidR="00271494" w:rsidRPr="00D15774">
        <w:t xml:space="preserve">for JPAD areas, CDAs and Statewide PAD (multiple well) facilities </w:t>
      </w:r>
      <w:r w:rsidRPr="00D15774">
        <w:t xml:space="preserve">Chapter 6 Section 2 O&amp;G Permitting Guidance </w:t>
      </w:r>
      <w:r w:rsidR="00271494" w:rsidRPr="00D15774">
        <w:t xml:space="preserve">requires </w:t>
      </w:r>
      <w:r w:rsidR="0059418E" w:rsidRPr="00D15774">
        <w:t xml:space="preserve">that </w:t>
      </w:r>
      <w:r w:rsidR="00271494" w:rsidRPr="00D15774">
        <w:t>all dehydration unit emissions must be controlled by 98% upon startup/modification.  E</w:t>
      </w:r>
      <w:r w:rsidRPr="00D15774">
        <w:t>missions from single well dehydration units must be controlled by 98% within 60 days of startup/modification fo</w:t>
      </w:r>
      <w:r w:rsidR="0059418E" w:rsidRPr="00D15774">
        <w:t xml:space="preserve">r those with </w:t>
      </w:r>
      <w:r w:rsidRPr="00D15774">
        <w:t xml:space="preserve">≥6 tpy VOC (30 days for ≥8 tpy VOC) with removal allowed upon approval after various elapsed time scenarios.  </w:t>
      </w:r>
      <w:r w:rsidR="00271494" w:rsidRPr="00D15774">
        <w:t>The Wyoming requirements for dehydrators are equivalent to or better than the Subpart OOOO requirement</w:t>
      </w:r>
      <w:r w:rsidR="00261CEE" w:rsidRPr="00D15774">
        <w:t>.  T</w:t>
      </w:r>
      <w:r w:rsidRPr="00D15774">
        <w:t xml:space="preserve">hus the effect of Subpart OOOO </w:t>
      </w:r>
      <w:r w:rsidR="008E0B70" w:rsidRPr="00D15774">
        <w:t xml:space="preserve">on glycol dehydrator VOC emissions </w:t>
      </w:r>
      <w:r w:rsidRPr="00D15774">
        <w:t xml:space="preserve">will be minimized in </w:t>
      </w:r>
      <w:r w:rsidR="00261CEE" w:rsidRPr="00D15774">
        <w:t xml:space="preserve">future emission inventories for </w:t>
      </w:r>
      <w:r w:rsidRPr="00D15774">
        <w:t xml:space="preserve">the </w:t>
      </w:r>
      <w:r w:rsidR="00271494" w:rsidRPr="00D15774">
        <w:t xml:space="preserve">SW Wyoming (Greater Green River) </w:t>
      </w:r>
      <w:r w:rsidR="00271494" w:rsidRPr="00D15774">
        <w:lastRenderedPageBreak/>
        <w:t>Basin</w:t>
      </w:r>
      <w:r w:rsidR="002E21AB" w:rsidRPr="00D15774">
        <w:t xml:space="preserve"> by existing Wyoming regulations.</w:t>
      </w:r>
    </w:p>
    <w:p w:rsidR="00271494" w:rsidRPr="00D15774" w:rsidRDefault="00271494" w:rsidP="00010633">
      <w:pPr>
        <w:widowControl w:val="0"/>
        <w:spacing w:line="300" w:lineRule="auto"/>
      </w:pPr>
    </w:p>
    <w:p w:rsidR="00BF6DB9" w:rsidRPr="00D15774" w:rsidRDefault="00BF6DB9" w:rsidP="00BF6D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Regarding well completions (venting blowdowns in the Phase III inventory) under Subpart OOOO any new or existing non-exploratory or non-delineation wells (wells that are in close proximity to a gathering line) that have undergone high pressure hydraulic fracturing (fracing), the regulation will require “Green Completions” for these wells, in combination with pit flaring for gas unsuitable to enter a sales pipeline.  Wyoming Chapter 6 Section 2 O&amp;G Permitting Guidance defines 3 area categories; 1) the Jonah-Pinedale Anticline Development (JPAD), 2) Concentrated Development Area (CDA) &amp; 3) Statewide</w:t>
      </w:r>
    </w:p>
    <w:p w:rsidR="00BF6DB9" w:rsidRPr="00D15774" w:rsidRDefault="00BF6DB9" w:rsidP="00BF6D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BF6DB9" w:rsidRPr="00D15774" w:rsidRDefault="00BF6DB9" w:rsidP="00BF6D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Green completions have been required in the JPAD area since 2004, and are required CDAs as of 2011-12 (depending upon individual permit issuance -- August 1, 2011 rule).  </w:t>
      </w:r>
      <w:r w:rsidR="002E21AB" w:rsidRPr="00D15774">
        <w:t xml:space="preserve">The entire SW Wyoming (Greater Green River) Basin is covered by the Wyoming </w:t>
      </w:r>
      <w:r w:rsidRPr="00D15774">
        <w:t>requirement for Green Completions</w:t>
      </w:r>
      <w:r w:rsidR="002E21AB" w:rsidRPr="00D15774">
        <w:t>, T</w:t>
      </w:r>
      <w:r w:rsidRPr="00D15774">
        <w:t xml:space="preserve">hus the effect of Subpart OOOO </w:t>
      </w:r>
      <w:r w:rsidR="008E0B70" w:rsidRPr="00D15774">
        <w:t xml:space="preserve">on venting VOC emissions </w:t>
      </w:r>
      <w:r w:rsidRPr="00D15774">
        <w:t xml:space="preserve">will be minimized in </w:t>
      </w:r>
      <w:r w:rsidR="00261CEE" w:rsidRPr="00D15774">
        <w:t xml:space="preserve">future emission inventories for </w:t>
      </w:r>
      <w:r w:rsidRPr="00D15774">
        <w:t xml:space="preserve">the </w:t>
      </w:r>
      <w:r w:rsidR="002E21AB" w:rsidRPr="00D15774">
        <w:t xml:space="preserve">SW Wyoming (Greater Green River) Basin </w:t>
      </w:r>
      <w:r w:rsidRPr="00D15774">
        <w:t xml:space="preserve">by existing Wyoming regulations. </w:t>
      </w:r>
    </w:p>
    <w:p w:rsidR="00BF6DB9" w:rsidRPr="00D15774" w:rsidRDefault="00BF6DB9" w:rsidP="00BF6D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42617" w:rsidRPr="00D15774" w:rsidRDefault="002E21AB" w:rsidP="00F459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pPr>
      <w:r w:rsidRPr="00D15774">
        <w:rPr>
          <w:rStyle w:val="FigureChar"/>
          <w:rFonts w:ascii="Times New Roman" w:hAnsi="Times New Roman"/>
          <w:b w:val="0"/>
          <w:sz w:val="24"/>
        </w:rPr>
        <w:t xml:space="preserve">Regarding gas fired engines NSPS Subpart OOOO addresses VOC emissions, mandating 95% control of centrifugal units </w:t>
      </w:r>
      <w:r w:rsidR="00F459B1" w:rsidRPr="00D15774">
        <w:rPr>
          <w:rStyle w:val="FigureChar"/>
          <w:rFonts w:ascii="Times New Roman" w:hAnsi="Times New Roman"/>
          <w:b w:val="0"/>
          <w:sz w:val="24"/>
        </w:rPr>
        <w:t>that have a wet</w:t>
      </w:r>
      <w:r w:rsidRPr="00D15774">
        <w:rPr>
          <w:rStyle w:val="FigureChar"/>
          <w:rFonts w:ascii="Times New Roman" w:hAnsi="Times New Roman"/>
          <w:b w:val="0"/>
          <w:sz w:val="24"/>
        </w:rPr>
        <w:t xml:space="preserve"> seal system, and </w:t>
      </w:r>
      <w:r w:rsidR="00F459B1" w:rsidRPr="00D15774">
        <w:rPr>
          <w:rStyle w:val="FigureChar"/>
          <w:rFonts w:ascii="Times New Roman" w:hAnsi="Times New Roman"/>
          <w:b w:val="0"/>
          <w:sz w:val="24"/>
        </w:rPr>
        <w:t xml:space="preserve">a maintenance schedule to replace rod packing every 26,000 hours (or 3 months) for </w:t>
      </w:r>
      <w:r w:rsidRPr="00D15774">
        <w:rPr>
          <w:rStyle w:val="FigureChar"/>
          <w:rFonts w:ascii="Times New Roman" w:hAnsi="Times New Roman"/>
          <w:b w:val="0"/>
          <w:sz w:val="24"/>
        </w:rPr>
        <w:t xml:space="preserve">reciprocating engines.  The State of Wyoming has no existing regulations on compressor fugitive </w:t>
      </w:r>
      <w:r w:rsidR="00F459B1" w:rsidRPr="00D15774">
        <w:rPr>
          <w:rStyle w:val="FigureChar"/>
          <w:rFonts w:ascii="Times New Roman" w:hAnsi="Times New Roman"/>
          <w:b w:val="0"/>
          <w:sz w:val="24"/>
        </w:rPr>
        <w:t xml:space="preserve">VOC </w:t>
      </w:r>
      <w:r w:rsidRPr="00D15774">
        <w:rPr>
          <w:rStyle w:val="FigureChar"/>
          <w:rFonts w:ascii="Times New Roman" w:hAnsi="Times New Roman"/>
          <w:b w:val="0"/>
          <w:sz w:val="24"/>
        </w:rPr>
        <w:t xml:space="preserve">emissions, so Subpart OOOO would likely reduce VOC emissions from this </w:t>
      </w:r>
      <w:r w:rsidR="00DB6DF2" w:rsidRPr="00D15774">
        <w:rPr>
          <w:rStyle w:val="FigureChar"/>
          <w:rFonts w:ascii="Times New Roman" w:hAnsi="Times New Roman"/>
          <w:b w:val="0"/>
          <w:sz w:val="24"/>
        </w:rPr>
        <w:t xml:space="preserve">engine </w:t>
      </w:r>
      <w:r w:rsidRPr="00D15774">
        <w:rPr>
          <w:rStyle w:val="FigureChar"/>
          <w:rFonts w:ascii="Times New Roman" w:hAnsi="Times New Roman"/>
          <w:b w:val="0"/>
          <w:sz w:val="24"/>
        </w:rPr>
        <w:t xml:space="preserve">source category in </w:t>
      </w:r>
      <w:r w:rsidR="00DB6DF2" w:rsidRPr="00D15774">
        <w:rPr>
          <w:rStyle w:val="FigureChar"/>
          <w:rFonts w:ascii="Times New Roman" w:hAnsi="Times New Roman"/>
          <w:b w:val="0"/>
          <w:sz w:val="24"/>
        </w:rPr>
        <w:t xml:space="preserve">future inventories for </w:t>
      </w:r>
      <w:r w:rsidRPr="00D15774">
        <w:rPr>
          <w:rStyle w:val="FigureChar"/>
          <w:rFonts w:ascii="Times New Roman" w:hAnsi="Times New Roman"/>
          <w:b w:val="0"/>
          <w:sz w:val="24"/>
        </w:rPr>
        <w:t xml:space="preserve">the </w:t>
      </w:r>
      <w:r w:rsidR="00F459B1" w:rsidRPr="00D15774">
        <w:t>SW Wyoming (Greater Green River) Basin.</w:t>
      </w:r>
    </w:p>
    <w:p w:rsidR="00A20D41" w:rsidRPr="00D15774" w:rsidRDefault="00A20D41" w:rsidP="00F459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pPr>
    </w:p>
    <w:p w:rsidR="008F5E0D" w:rsidRPr="00D15774" w:rsidRDefault="00A20D41" w:rsidP="008F5E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Regarding the federal rules for </w:t>
      </w:r>
      <w:r w:rsidR="001435A6" w:rsidRPr="00D15774">
        <w:t>“Permitting of Minor S</w:t>
      </w:r>
      <w:r w:rsidRPr="00D15774">
        <w:t>ources on Indian Lands</w:t>
      </w:r>
      <w:r w:rsidR="001435A6" w:rsidRPr="00D15774">
        <w:t>”</w:t>
      </w:r>
      <w:r w:rsidRPr="00D15774">
        <w:t xml:space="preserve">, </w:t>
      </w:r>
      <w:r w:rsidR="00DB6DF2" w:rsidRPr="00D15774">
        <w:t>once again</w:t>
      </w:r>
      <w:r w:rsidRPr="00D15774">
        <w:t xml:space="preserve"> there are no Indian Lands in the SW Wyoming (Greater Green River) Basin, and therefore the new requirements will have no effect on VOC emission tot</w:t>
      </w:r>
      <w:r w:rsidR="008E0B70" w:rsidRPr="00D15774">
        <w:t>als in this area in the future.</w:t>
      </w:r>
    </w:p>
    <w:p w:rsidR="008F5E0D" w:rsidRPr="00D15774" w:rsidRDefault="008F5E0D" w:rsidP="00E1181C">
      <w:pPr>
        <w:pStyle w:val="Heading3"/>
        <w:rPr>
          <w:rFonts w:ascii="Times New Roman" w:hAnsi="Times New Roman" w:cs="Times New Roman"/>
        </w:rPr>
      </w:pPr>
      <w:r w:rsidRPr="00D15774">
        <w:rPr>
          <w:rFonts w:ascii="Times New Roman" w:hAnsi="Times New Roman" w:cs="Times New Roman"/>
        </w:rPr>
        <w:br w:type="page"/>
      </w:r>
      <w:bookmarkStart w:id="131" w:name="_Toc369087045"/>
      <w:r w:rsidRPr="00E47241">
        <w:rPr>
          <w:rFonts w:ascii="Times New Roman" w:hAnsi="Times New Roman" w:cs="Times New Roman"/>
          <w:color w:val="auto"/>
        </w:rPr>
        <w:lastRenderedPageBreak/>
        <w:t>Wi</w:t>
      </w:r>
      <w:r w:rsidR="00C11E62" w:rsidRPr="00E47241">
        <w:rPr>
          <w:rFonts w:ascii="Times New Roman" w:hAnsi="Times New Roman" w:cs="Times New Roman"/>
          <w:color w:val="auto"/>
        </w:rPr>
        <w:t>lliston Basin 2009</w:t>
      </w:r>
      <w:r w:rsidRPr="00E47241">
        <w:rPr>
          <w:rFonts w:ascii="Times New Roman" w:hAnsi="Times New Roman" w:cs="Times New Roman"/>
          <w:color w:val="auto"/>
        </w:rPr>
        <w:t xml:space="preserve"> Emissions</w:t>
      </w:r>
      <w:bookmarkEnd w:id="131"/>
      <w:r w:rsidR="003E1940" w:rsidRPr="00D15774">
        <w:rPr>
          <w:rFonts w:ascii="Times New Roman" w:hAnsi="Times New Roman" w:cs="Times New Roman"/>
        </w:rPr>
        <w:fldChar w:fldCharType="begin"/>
      </w:r>
      <w:r w:rsidR="003E1940" w:rsidRPr="00D15774">
        <w:rPr>
          <w:rFonts w:ascii="Times New Roman" w:hAnsi="Times New Roman" w:cs="Times New Roman"/>
        </w:rPr>
        <w:instrText xml:space="preserve"> </w:instrText>
      </w:r>
      <w:r w:rsidR="009C5969" w:rsidRPr="00D15774">
        <w:rPr>
          <w:rFonts w:ascii="Times New Roman" w:hAnsi="Times New Roman" w:cs="Times New Roman"/>
        </w:rPr>
        <w:instrText xml:space="preserve">TC \13 </w:instrText>
      </w:r>
      <w:r w:rsidR="003E1940" w:rsidRPr="00D15774">
        <w:rPr>
          <w:rFonts w:ascii="Times New Roman" w:hAnsi="Times New Roman" w:cs="Times New Roman"/>
        </w:rPr>
        <w:instrText>"Williston Basin 2009 Emissions"</w:instrText>
      </w:r>
      <w:r w:rsidR="003E1940" w:rsidRPr="00D15774">
        <w:rPr>
          <w:rFonts w:ascii="Times New Roman" w:hAnsi="Times New Roman" w:cs="Times New Roman"/>
        </w:rPr>
        <w:fldChar w:fldCharType="end"/>
      </w:r>
    </w:p>
    <w:p w:rsidR="008F5E0D" w:rsidRPr="00C47C14" w:rsidRDefault="008F5E0D" w:rsidP="00C47C14">
      <w:pPr>
        <w:pStyle w:val="Heading4"/>
        <w:jc w:val="center"/>
        <w:rPr>
          <w:rFonts w:ascii="Times New Roman" w:hAnsi="Times New Roman" w:cs="Times New Roman"/>
          <w:i w:val="0"/>
          <w:color w:val="auto"/>
        </w:rPr>
      </w:pPr>
      <w:bookmarkStart w:id="132" w:name="_Toc369087046"/>
      <w:r w:rsidRPr="00C47C14">
        <w:rPr>
          <w:rFonts w:ascii="Times New Roman" w:hAnsi="Times New Roman" w:cs="Times New Roman"/>
          <w:i w:val="0"/>
          <w:color w:val="auto"/>
        </w:rPr>
        <w:t xml:space="preserve">Figure </w:t>
      </w:r>
      <w:r w:rsidR="00C11E62" w:rsidRPr="00C47C14">
        <w:rPr>
          <w:rFonts w:ascii="Times New Roman" w:hAnsi="Times New Roman" w:cs="Times New Roman"/>
          <w:i w:val="0"/>
          <w:color w:val="auto"/>
        </w:rPr>
        <w:t>10</w:t>
      </w:r>
      <w:r w:rsidRPr="00C47C14">
        <w:rPr>
          <w:rFonts w:ascii="Times New Roman" w:hAnsi="Times New Roman" w:cs="Times New Roman"/>
          <w:i w:val="0"/>
          <w:color w:val="auto"/>
        </w:rPr>
        <w:t>: Wi</w:t>
      </w:r>
      <w:r w:rsidR="00C11E62" w:rsidRPr="00C47C14">
        <w:rPr>
          <w:rFonts w:ascii="Times New Roman" w:hAnsi="Times New Roman" w:cs="Times New Roman"/>
          <w:i w:val="0"/>
          <w:color w:val="auto"/>
        </w:rPr>
        <w:t>lliston</w:t>
      </w:r>
      <w:r w:rsidRPr="00C47C14">
        <w:rPr>
          <w:rFonts w:ascii="Times New Roman" w:hAnsi="Times New Roman" w:cs="Times New Roman"/>
          <w:i w:val="0"/>
          <w:color w:val="auto"/>
        </w:rPr>
        <w:t xml:space="preserve"> Basin Boundaries Overlaid With 200</w:t>
      </w:r>
      <w:r w:rsidR="00C11E62" w:rsidRPr="00C47C14">
        <w:rPr>
          <w:rFonts w:ascii="Times New Roman" w:hAnsi="Times New Roman" w:cs="Times New Roman"/>
          <w:i w:val="0"/>
          <w:color w:val="auto"/>
        </w:rPr>
        <w:t>9</w:t>
      </w:r>
      <w:r w:rsidRPr="00C47C14">
        <w:rPr>
          <w:rFonts w:ascii="Times New Roman" w:hAnsi="Times New Roman" w:cs="Times New Roman"/>
          <w:i w:val="0"/>
          <w:color w:val="auto"/>
        </w:rPr>
        <w:t xml:space="preserve"> O</w:t>
      </w:r>
      <w:r w:rsidR="007F272E">
        <w:rPr>
          <w:rFonts w:ascii="Times New Roman" w:hAnsi="Times New Roman" w:cs="Times New Roman"/>
          <w:i w:val="0"/>
          <w:color w:val="auto"/>
        </w:rPr>
        <w:t>&amp;</w:t>
      </w:r>
      <w:r w:rsidRPr="00C47C14">
        <w:rPr>
          <w:rFonts w:ascii="Times New Roman" w:hAnsi="Times New Roman" w:cs="Times New Roman"/>
          <w:i w:val="0"/>
          <w:color w:val="auto"/>
        </w:rPr>
        <w:t>G Well Locations</w:t>
      </w:r>
      <w:bookmarkEnd w:id="132"/>
      <w:r w:rsidR="00B63F8C" w:rsidRPr="00C47C14">
        <w:rPr>
          <w:rFonts w:ascii="Times New Roman" w:hAnsi="Times New Roman" w:cs="Times New Roman"/>
          <w:i w:val="0"/>
          <w:color w:val="auto"/>
        </w:rPr>
        <w:fldChar w:fldCharType="begin"/>
      </w:r>
      <w:r w:rsidR="00B63F8C" w:rsidRPr="00C47C14">
        <w:rPr>
          <w:rFonts w:ascii="Times New Roman" w:hAnsi="Times New Roman" w:cs="Times New Roman"/>
          <w:i w:val="0"/>
          <w:color w:val="auto"/>
        </w:rPr>
        <w:instrText xml:space="preserve"> TC \14 "Figure 10: Williston Basin Boundaries Overlaid With 2009 O</w:instrText>
      </w:r>
      <w:r w:rsidR="007F272E">
        <w:rPr>
          <w:rFonts w:ascii="Times New Roman" w:hAnsi="Times New Roman" w:cs="Times New Roman"/>
          <w:i w:val="0"/>
          <w:color w:val="auto"/>
        </w:rPr>
        <w:instrText>&amp;</w:instrText>
      </w:r>
      <w:r w:rsidR="00B63F8C" w:rsidRPr="00C47C14">
        <w:rPr>
          <w:rFonts w:ascii="Times New Roman" w:hAnsi="Times New Roman" w:cs="Times New Roman"/>
          <w:i w:val="0"/>
          <w:color w:val="auto"/>
        </w:rPr>
        <w:instrText xml:space="preserve">G Well Locations" \l 1 </w:instrText>
      </w:r>
      <w:r w:rsidR="00B63F8C" w:rsidRPr="00C47C14">
        <w:rPr>
          <w:rFonts w:ascii="Times New Roman" w:hAnsi="Times New Roman" w:cs="Times New Roman"/>
          <w:i w:val="0"/>
          <w:color w:val="auto"/>
        </w:rPr>
        <w:fldChar w:fldCharType="end"/>
      </w:r>
    </w:p>
    <w:p w:rsidR="008F5E0D" w:rsidRPr="00D15774" w:rsidRDefault="008F5E0D" w:rsidP="008F5E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rPr>
          <w:noProof/>
        </w:rPr>
        <mc:AlternateContent>
          <mc:Choice Requires="wps">
            <w:drawing>
              <wp:inline distT="0" distB="0" distL="0" distR="0" wp14:anchorId="14A3F848" wp14:editId="71789E79">
                <wp:extent cx="5829300" cy="6939280"/>
                <wp:effectExtent l="0" t="0" r="0" b="4445"/>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939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938" w:rsidRDefault="00645938" w:rsidP="008F5E0D">
                            <w:r>
                              <w:rPr>
                                <w:rFonts w:ascii="Arial" w:hAnsi="Arial" w:cs="Arial"/>
                                <w:b/>
                                <w:noProof/>
                                <w:sz w:val="22"/>
                                <w:szCs w:val="22"/>
                              </w:rPr>
                              <w:drawing>
                                <wp:inline distT="0" distB="0" distL="0" distR="0" wp14:anchorId="2DDFE3DE" wp14:editId="01358FF2">
                                  <wp:extent cx="6686550" cy="51676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_wells_IHS_17jun2013.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686550" cy="5167692"/>
                                          </a:xfrm>
                                          <a:prstGeom prst="rect">
                                            <a:avLst/>
                                          </a:prstGeom>
                                        </pic:spPr>
                                      </pic:pic>
                                    </a:graphicData>
                                  </a:graphic>
                                </wp:inline>
                              </w:drawing>
                            </w:r>
                          </w:p>
                        </w:txbxContent>
                      </wps:txbx>
                      <wps:bodyPr rot="0" vert="horz" wrap="none" lIns="0" tIns="0" rIns="0" bIns="0" anchor="t" anchorCtr="0" upright="1">
                        <a:spAutoFit/>
                      </wps:bodyPr>
                    </wps:wsp>
                  </a:graphicData>
                </a:graphic>
              </wp:inline>
            </w:drawing>
          </mc:Choice>
          <mc:Fallback>
            <w:pict>
              <v:shape w14:anchorId="14A3F848" id="_x0000_s1031" type="#_x0000_t202" style="width:459pt;height:546.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" stroked="f">
                <v:textbox style="mso-fit-shape-to-text:t" inset="0,0,0,0">
                  <w:txbxContent>
                    <w:p w:rsidR="00645938" w:rsidRDefault="00645938" w:rsidP="008F5E0D">
                      <w:r>
                        <w:rPr>
                          <w:rFonts w:ascii="Arial" w:hAnsi="Arial" w:cs="Arial"/>
                          <w:b/>
                          <w:noProof/>
                          <w:sz w:val="22"/>
                          <w:szCs w:val="22"/>
                        </w:rPr>
                        <w:drawing>
                          <wp:inline distT="0" distB="0" distL="0" distR="0" wp14:anchorId="2DDFE3DE" wp14:editId="01358FF2">
                            <wp:extent cx="6686550" cy="51676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_wells_IHS_17jun2013.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686550" cy="5167692"/>
                                    </a:xfrm>
                                    <a:prstGeom prst="rect">
                                      <a:avLst/>
                                    </a:prstGeom>
                                  </pic:spPr>
                                </pic:pic>
                              </a:graphicData>
                            </a:graphic>
                          </wp:inline>
                        </w:drawing>
                      </w:r>
                    </w:p>
                  </w:txbxContent>
                </v:textbox>
                <w10:anchorlock/>
              </v:shape>
            </w:pict>
          </mc:Fallback>
        </mc:AlternateContent>
      </w:r>
    </w:p>
    <w:p w:rsidR="00C11E62" w:rsidRPr="00D15774" w:rsidRDefault="00C11E62">
      <w:r w:rsidRPr="00D15774">
        <w:br w:type="page"/>
      </w:r>
    </w:p>
    <w:p w:rsidR="008F5E0D" w:rsidRPr="00D15774" w:rsidRDefault="008F5E0D" w:rsidP="008F5E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lastRenderedPageBreak/>
        <w:t xml:space="preserve">Table </w:t>
      </w:r>
      <w:r w:rsidR="00761A2D" w:rsidRPr="00D15774">
        <w:t>21</w:t>
      </w:r>
      <w:r w:rsidRPr="00D15774">
        <w:t xml:space="preserve"> contains a listing of the Wi</w:t>
      </w:r>
      <w:r w:rsidR="00C11E62" w:rsidRPr="00D15774">
        <w:t xml:space="preserve">lliston </w:t>
      </w:r>
      <w:r w:rsidRPr="00D15774">
        <w:t>Basin NOx emissions from the ENVIRON’s Ju</w:t>
      </w:r>
      <w:r w:rsidR="00C11E62" w:rsidRPr="00D15774">
        <w:t>ne</w:t>
      </w:r>
      <w:r w:rsidRPr="00D15774">
        <w:t xml:space="preserve"> </w:t>
      </w:r>
      <w:r w:rsidR="00C11E62" w:rsidRPr="00D15774">
        <w:t>25</w:t>
      </w:r>
      <w:r w:rsidRPr="00D15774">
        <w:t>, 201</w:t>
      </w:r>
      <w:r w:rsidR="00C11E62" w:rsidRPr="00D15774">
        <w:t>3</w:t>
      </w:r>
      <w:r w:rsidRPr="00D15774">
        <w:t xml:space="preserve"> Technical Memo, “DEVELOPMENT OF BASELINE 200</w:t>
      </w:r>
      <w:r w:rsidR="00C11E62" w:rsidRPr="00D15774">
        <w:t>9</w:t>
      </w:r>
      <w:r w:rsidRPr="00D15774">
        <w:t xml:space="preserve"> EMISSIONS FRO</w:t>
      </w:r>
      <w:r w:rsidR="00C11E62" w:rsidRPr="00D15774">
        <w:t>M OIL AND GAS ACTIVITY IN THE WILLISTON</w:t>
      </w:r>
      <w:r w:rsidRPr="00D15774">
        <w:t xml:space="preserve"> BASIN” located at:</w:t>
      </w:r>
    </w:p>
    <w:p w:rsidR="008F5E0D" w:rsidRPr="00D15774" w:rsidRDefault="008F5E0D" w:rsidP="008F5E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8F5E0D" w:rsidRPr="00D15774" w:rsidRDefault="00645938" w:rsidP="008F5E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Cs w:val="24"/>
        </w:rPr>
      </w:pPr>
      <w:hyperlink r:id="rId56" w:history="1">
        <w:r w:rsidR="00DB6DF2" w:rsidRPr="00D15774">
          <w:rPr>
            <w:rStyle w:val="Hyperlink"/>
            <w:sz w:val="24"/>
            <w:szCs w:val="24"/>
          </w:rPr>
          <w:t>http://www.wrapair2.org/pdf/2009_Baseline_Emiss_Williston_Basin_062513.pdf</w:t>
        </w:r>
      </w:hyperlink>
    </w:p>
    <w:p w:rsidR="006A356F" w:rsidRPr="00C47C14" w:rsidRDefault="008F5E0D" w:rsidP="00C47C14">
      <w:pPr>
        <w:pStyle w:val="Heading4"/>
        <w:jc w:val="center"/>
        <w:rPr>
          <w:rFonts w:ascii="Times New Roman" w:hAnsi="Times New Roman" w:cs="Times New Roman"/>
          <w:i w:val="0"/>
          <w:color w:val="auto"/>
        </w:rPr>
      </w:pPr>
      <w:bookmarkStart w:id="133" w:name="_Toc369087047"/>
      <w:r w:rsidRPr="00C47C14">
        <w:rPr>
          <w:rFonts w:ascii="Times New Roman" w:hAnsi="Times New Roman" w:cs="Times New Roman"/>
          <w:i w:val="0"/>
          <w:color w:val="auto"/>
        </w:rPr>
        <w:t xml:space="preserve">Table </w:t>
      </w:r>
      <w:r w:rsidR="00761A2D" w:rsidRPr="00C47C14">
        <w:rPr>
          <w:rFonts w:ascii="Times New Roman" w:hAnsi="Times New Roman" w:cs="Times New Roman"/>
          <w:i w:val="0"/>
          <w:color w:val="auto"/>
        </w:rPr>
        <w:t>21</w:t>
      </w:r>
      <w:r w:rsidR="00971187" w:rsidRPr="00C47C14">
        <w:rPr>
          <w:rFonts w:ascii="Times New Roman" w:hAnsi="Times New Roman" w:cs="Times New Roman"/>
          <w:i w:val="0"/>
          <w:color w:val="auto"/>
        </w:rPr>
        <w:t>: Williston</w:t>
      </w:r>
      <w:r w:rsidRPr="00C47C14">
        <w:rPr>
          <w:rFonts w:ascii="Times New Roman" w:hAnsi="Times New Roman" w:cs="Times New Roman"/>
          <w:i w:val="0"/>
          <w:color w:val="auto"/>
        </w:rPr>
        <w:t xml:space="preserve"> Basin 200</w:t>
      </w:r>
      <w:r w:rsidR="00971187" w:rsidRPr="00C47C14">
        <w:rPr>
          <w:rFonts w:ascii="Times New Roman" w:hAnsi="Times New Roman" w:cs="Times New Roman"/>
          <w:i w:val="0"/>
          <w:color w:val="auto"/>
        </w:rPr>
        <w:t>9</w:t>
      </w:r>
      <w:r w:rsidRPr="00C47C14">
        <w:rPr>
          <w:rFonts w:ascii="Times New Roman" w:hAnsi="Times New Roman" w:cs="Times New Roman"/>
          <w:i w:val="0"/>
          <w:color w:val="auto"/>
        </w:rPr>
        <w:t xml:space="preserve"> NOx Emission Sources (tpy)</w:t>
      </w:r>
      <w:bookmarkEnd w:id="133"/>
      <w:r w:rsidRPr="00C47C14">
        <w:rPr>
          <w:rFonts w:ascii="Times New Roman" w:hAnsi="Times New Roman" w:cs="Times New Roman"/>
          <w:i w:val="0"/>
          <w:color w:val="auto"/>
        </w:rPr>
        <w:fldChar w:fldCharType="begin"/>
      </w:r>
      <w:r w:rsidRPr="00C47C14">
        <w:rPr>
          <w:rFonts w:ascii="Times New Roman" w:hAnsi="Times New Roman" w:cs="Times New Roman"/>
          <w:i w:val="0"/>
          <w:color w:val="auto"/>
        </w:rPr>
        <w:instrText xml:space="preserve"> TC \l4 "Table 1</w:instrText>
      </w:r>
      <w:r w:rsidR="0050104C" w:rsidRPr="00C47C14">
        <w:rPr>
          <w:rFonts w:ascii="Times New Roman" w:hAnsi="Times New Roman" w:cs="Times New Roman"/>
          <w:i w:val="0"/>
          <w:color w:val="auto"/>
        </w:rPr>
        <w:instrText>9</w:instrText>
      </w:r>
      <w:r w:rsidRPr="00C47C14">
        <w:rPr>
          <w:rFonts w:ascii="Times New Roman" w:hAnsi="Times New Roman" w:cs="Times New Roman"/>
          <w:i w:val="0"/>
          <w:color w:val="auto"/>
        </w:rPr>
        <w:instrText>: Wind River Basin 2006 NOx Emission Sources (TPY)</w:instrText>
      </w:r>
      <w:r w:rsidRPr="00C47C14">
        <w:rPr>
          <w:rFonts w:ascii="Times New Roman" w:hAnsi="Times New Roman" w:cs="Times New Roman"/>
          <w:i w:val="0"/>
          <w:color w:val="auto"/>
        </w:rPr>
        <w:fldChar w:fldCharType="end"/>
      </w:r>
    </w:p>
    <w:tbl>
      <w:tblPr>
        <w:tblW w:w="5400" w:type="pct"/>
        <w:tblInd w:w="-3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25"/>
        <w:gridCol w:w="1290"/>
        <w:gridCol w:w="829"/>
        <w:gridCol w:w="922"/>
        <w:gridCol w:w="1474"/>
        <w:gridCol w:w="1105"/>
        <w:gridCol w:w="829"/>
        <w:gridCol w:w="1198"/>
        <w:gridCol w:w="1105"/>
        <w:gridCol w:w="829"/>
      </w:tblGrid>
      <w:tr w:rsidR="00847327" w:rsidRPr="00D15774" w:rsidTr="001A4283">
        <w:trPr>
          <w:trHeight w:val="288"/>
          <w:tblHeader/>
        </w:trPr>
        <w:tc>
          <w:tcPr>
            <w:tcW w:w="873" w:type="pct"/>
            <w:shd w:val="clear" w:color="auto" w:fill="E0E0E0"/>
            <w:noWrap/>
            <w:vAlign w:val="bottom"/>
          </w:tcPr>
          <w:p w:rsidR="006A356F" w:rsidRPr="00D15774" w:rsidRDefault="006A356F" w:rsidP="00847327">
            <w:pPr>
              <w:jc w:val="center"/>
              <w:rPr>
                <w:b/>
                <w:bCs/>
                <w:sz w:val="20"/>
              </w:rPr>
            </w:pPr>
          </w:p>
        </w:tc>
        <w:tc>
          <w:tcPr>
            <w:tcW w:w="556" w:type="pct"/>
            <w:shd w:val="clear" w:color="auto" w:fill="E0E0E0"/>
            <w:noWrap/>
            <w:vAlign w:val="bottom"/>
          </w:tcPr>
          <w:p w:rsidR="001A4283" w:rsidRPr="00D15774" w:rsidRDefault="006A356F" w:rsidP="00847327">
            <w:pPr>
              <w:jc w:val="center"/>
              <w:rPr>
                <w:bCs/>
                <w:sz w:val="20"/>
              </w:rPr>
            </w:pPr>
            <w:r w:rsidRPr="00D15774">
              <w:rPr>
                <w:bCs/>
                <w:sz w:val="20"/>
              </w:rPr>
              <w:t>Compressor</w:t>
            </w:r>
          </w:p>
          <w:p w:rsidR="006A356F" w:rsidRPr="00D15774" w:rsidRDefault="006A356F" w:rsidP="00847327">
            <w:pPr>
              <w:jc w:val="center"/>
              <w:rPr>
                <w:bCs/>
                <w:sz w:val="20"/>
              </w:rPr>
            </w:pPr>
            <w:r w:rsidRPr="00D15774">
              <w:rPr>
                <w:bCs/>
                <w:sz w:val="20"/>
              </w:rPr>
              <w:t>Engines</w:t>
            </w:r>
          </w:p>
        </w:tc>
        <w:tc>
          <w:tcPr>
            <w:tcW w:w="357" w:type="pct"/>
            <w:shd w:val="clear" w:color="auto" w:fill="E0E0E0"/>
            <w:noWrap/>
            <w:vAlign w:val="bottom"/>
          </w:tcPr>
          <w:p w:rsidR="001A4283" w:rsidRPr="00D15774" w:rsidRDefault="006A356F" w:rsidP="00847327">
            <w:pPr>
              <w:jc w:val="center"/>
              <w:rPr>
                <w:bCs/>
                <w:sz w:val="20"/>
              </w:rPr>
            </w:pPr>
            <w:r w:rsidRPr="00D15774">
              <w:rPr>
                <w:bCs/>
                <w:sz w:val="20"/>
              </w:rPr>
              <w:t>Drill</w:t>
            </w:r>
          </w:p>
          <w:p w:rsidR="006A356F" w:rsidRPr="00D15774" w:rsidRDefault="006A356F" w:rsidP="00847327">
            <w:pPr>
              <w:jc w:val="center"/>
              <w:rPr>
                <w:bCs/>
                <w:sz w:val="20"/>
              </w:rPr>
            </w:pPr>
            <w:r w:rsidRPr="00D15774">
              <w:rPr>
                <w:bCs/>
                <w:sz w:val="20"/>
              </w:rPr>
              <w:t>Rigs</w:t>
            </w:r>
          </w:p>
        </w:tc>
        <w:tc>
          <w:tcPr>
            <w:tcW w:w="397" w:type="pct"/>
            <w:shd w:val="clear" w:color="auto" w:fill="E0E0E0"/>
            <w:noWrap/>
            <w:vAlign w:val="bottom"/>
          </w:tcPr>
          <w:p w:rsidR="006A356F" w:rsidRPr="00D15774" w:rsidRDefault="006A356F" w:rsidP="00847327">
            <w:pPr>
              <w:jc w:val="center"/>
              <w:rPr>
                <w:bCs/>
                <w:sz w:val="20"/>
              </w:rPr>
            </w:pPr>
            <w:r w:rsidRPr="00D15774">
              <w:rPr>
                <w:bCs/>
                <w:sz w:val="20"/>
              </w:rPr>
              <w:t>Heaters</w:t>
            </w:r>
          </w:p>
        </w:tc>
        <w:tc>
          <w:tcPr>
            <w:tcW w:w="635" w:type="pct"/>
            <w:shd w:val="clear" w:color="auto" w:fill="E0E0E0"/>
            <w:noWrap/>
            <w:vAlign w:val="bottom"/>
          </w:tcPr>
          <w:p w:rsidR="00847327" w:rsidRPr="00D15774" w:rsidRDefault="006A356F" w:rsidP="00847327">
            <w:pPr>
              <w:jc w:val="center"/>
              <w:rPr>
                <w:bCs/>
                <w:sz w:val="20"/>
              </w:rPr>
            </w:pPr>
            <w:r w:rsidRPr="00D15774">
              <w:rPr>
                <w:bCs/>
                <w:sz w:val="20"/>
              </w:rPr>
              <w:t>Miscellaneous</w:t>
            </w:r>
          </w:p>
          <w:p w:rsidR="006A356F" w:rsidRPr="00D15774" w:rsidRDefault="006A356F" w:rsidP="00847327">
            <w:pPr>
              <w:jc w:val="center"/>
              <w:rPr>
                <w:bCs/>
                <w:sz w:val="20"/>
              </w:rPr>
            </w:pPr>
            <w:r w:rsidRPr="00D15774">
              <w:rPr>
                <w:bCs/>
                <w:sz w:val="20"/>
              </w:rPr>
              <w:t xml:space="preserve"> Engines</w:t>
            </w:r>
          </w:p>
        </w:tc>
        <w:tc>
          <w:tcPr>
            <w:tcW w:w="476" w:type="pct"/>
            <w:shd w:val="clear" w:color="auto" w:fill="E0E0E0"/>
            <w:noWrap/>
            <w:vAlign w:val="bottom"/>
          </w:tcPr>
          <w:p w:rsidR="00847327" w:rsidRPr="00D15774" w:rsidRDefault="006A356F" w:rsidP="00847327">
            <w:pPr>
              <w:jc w:val="center"/>
              <w:rPr>
                <w:bCs/>
                <w:sz w:val="20"/>
              </w:rPr>
            </w:pPr>
            <w:r w:rsidRPr="00D15774">
              <w:rPr>
                <w:bCs/>
                <w:sz w:val="20"/>
              </w:rPr>
              <w:t>Artificial</w:t>
            </w:r>
          </w:p>
          <w:p w:rsidR="00847327" w:rsidRPr="00D15774" w:rsidRDefault="006A356F" w:rsidP="00847327">
            <w:pPr>
              <w:jc w:val="center"/>
              <w:rPr>
                <w:bCs/>
                <w:sz w:val="20"/>
              </w:rPr>
            </w:pPr>
            <w:r w:rsidRPr="00D15774">
              <w:rPr>
                <w:bCs/>
                <w:sz w:val="20"/>
              </w:rPr>
              <w:t>Lift</w:t>
            </w:r>
          </w:p>
          <w:p w:rsidR="006A356F" w:rsidRPr="00D15774" w:rsidRDefault="006A356F" w:rsidP="00847327">
            <w:pPr>
              <w:jc w:val="center"/>
              <w:rPr>
                <w:bCs/>
                <w:sz w:val="20"/>
              </w:rPr>
            </w:pPr>
            <w:r w:rsidRPr="00D15774">
              <w:rPr>
                <w:bCs/>
                <w:sz w:val="20"/>
              </w:rPr>
              <w:t>Engines</w:t>
            </w:r>
          </w:p>
        </w:tc>
        <w:tc>
          <w:tcPr>
            <w:tcW w:w="357" w:type="pct"/>
            <w:shd w:val="clear" w:color="auto" w:fill="E0E0E0"/>
            <w:vAlign w:val="bottom"/>
          </w:tcPr>
          <w:p w:rsidR="00847327" w:rsidRPr="00D15774" w:rsidRDefault="006A356F" w:rsidP="00847327">
            <w:pPr>
              <w:jc w:val="center"/>
              <w:rPr>
                <w:bCs/>
                <w:sz w:val="20"/>
              </w:rPr>
            </w:pPr>
            <w:r w:rsidRPr="00D15774">
              <w:rPr>
                <w:bCs/>
                <w:sz w:val="20"/>
              </w:rPr>
              <w:t>Oil</w:t>
            </w:r>
          </w:p>
          <w:p w:rsidR="006A356F" w:rsidRPr="00D15774" w:rsidRDefault="006A356F" w:rsidP="00847327">
            <w:pPr>
              <w:jc w:val="center"/>
              <w:rPr>
                <w:bCs/>
                <w:sz w:val="20"/>
              </w:rPr>
            </w:pPr>
            <w:r w:rsidRPr="00D15774">
              <w:rPr>
                <w:bCs/>
                <w:sz w:val="20"/>
              </w:rPr>
              <w:t>Tank Flaring</w:t>
            </w:r>
          </w:p>
        </w:tc>
        <w:tc>
          <w:tcPr>
            <w:tcW w:w="516" w:type="pct"/>
            <w:shd w:val="clear" w:color="auto" w:fill="E0E0E0"/>
            <w:vAlign w:val="bottom"/>
          </w:tcPr>
          <w:p w:rsidR="00CE34C9" w:rsidRPr="00D15774" w:rsidRDefault="006A356F" w:rsidP="00847327">
            <w:pPr>
              <w:jc w:val="center"/>
              <w:rPr>
                <w:bCs/>
                <w:sz w:val="20"/>
              </w:rPr>
            </w:pPr>
            <w:r w:rsidRPr="00D15774">
              <w:rPr>
                <w:bCs/>
                <w:sz w:val="20"/>
              </w:rPr>
              <w:t>Casing</w:t>
            </w:r>
          </w:p>
          <w:p w:rsidR="00847327" w:rsidRPr="00D15774" w:rsidRDefault="00CE34C9" w:rsidP="00847327">
            <w:pPr>
              <w:jc w:val="center"/>
              <w:rPr>
                <w:bCs/>
                <w:sz w:val="20"/>
              </w:rPr>
            </w:pPr>
            <w:r w:rsidRPr="00D15774">
              <w:rPr>
                <w:bCs/>
                <w:sz w:val="20"/>
              </w:rPr>
              <w:t>H</w:t>
            </w:r>
            <w:r w:rsidR="006A356F" w:rsidRPr="00D15774">
              <w:rPr>
                <w:bCs/>
                <w:sz w:val="20"/>
              </w:rPr>
              <w:t>ead</w:t>
            </w:r>
            <w:r w:rsidRPr="00D15774">
              <w:rPr>
                <w:bCs/>
                <w:sz w:val="20"/>
              </w:rPr>
              <w:t xml:space="preserve"> </w:t>
            </w:r>
            <w:r w:rsidR="006A356F" w:rsidRPr="00D15774">
              <w:rPr>
                <w:bCs/>
                <w:sz w:val="20"/>
              </w:rPr>
              <w:t>Gas</w:t>
            </w:r>
          </w:p>
          <w:p w:rsidR="006A356F" w:rsidRPr="00D15774" w:rsidRDefault="006A356F" w:rsidP="00847327">
            <w:pPr>
              <w:jc w:val="center"/>
              <w:rPr>
                <w:bCs/>
                <w:sz w:val="20"/>
              </w:rPr>
            </w:pPr>
            <w:r w:rsidRPr="00D15774">
              <w:rPr>
                <w:bCs/>
                <w:sz w:val="20"/>
              </w:rPr>
              <w:t>Flaring</w:t>
            </w:r>
          </w:p>
        </w:tc>
        <w:tc>
          <w:tcPr>
            <w:tcW w:w="476" w:type="pct"/>
            <w:shd w:val="clear" w:color="auto" w:fill="E0E0E0"/>
            <w:vAlign w:val="bottom"/>
          </w:tcPr>
          <w:p w:rsidR="00847327" w:rsidRPr="00D15774" w:rsidRDefault="006A356F" w:rsidP="00847327">
            <w:pPr>
              <w:jc w:val="center"/>
              <w:rPr>
                <w:bCs/>
                <w:sz w:val="20"/>
              </w:rPr>
            </w:pPr>
            <w:r w:rsidRPr="00D15774">
              <w:rPr>
                <w:bCs/>
                <w:sz w:val="20"/>
              </w:rPr>
              <w:t>Other</w:t>
            </w:r>
          </w:p>
          <w:p w:rsidR="006A356F" w:rsidRPr="00D15774" w:rsidRDefault="006A356F" w:rsidP="00847327">
            <w:pPr>
              <w:jc w:val="center"/>
              <w:rPr>
                <w:bCs/>
                <w:sz w:val="20"/>
              </w:rPr>
            </w:pPr>
            <w:r w:rsidRPr="00D15774">
              <w:rPr>
                <w:bCs/>
                <w:sz w:val="20"/>
              </w:rPr>
              <w:t>Categories</w:t>
            </w:r>
          </w:p>
        </w:tc>
        <w:tc>
          <w:tcPr>
            <w:tcW w:w="357" w:type="pct"/>
            <w:shd w:val="clear" w:color="auto" w:fill="E0E0E0"/>
            <w:vAlign w:val="bottom"/>
          </w:tcPr>
          <w:p w:rsidR="006A356F" w:rsidRPr="00D15774" w:rsidRDefault="006A356F" w:rsidP="00847327">
            <w:pPr>
              <w:jc w:val="center"/>
              <w:rPr>
                <w:bCs/>
                <w:sz w:val="20"/>
              </w:rPr>
            </w:pPr>
            <w:r w:rsidRPr="00D15774">
              <w:rPr>
                <w:bCs/>
                <w:sz w:val="20"/>
              </w:rPr>
              <w:t>Grand</w:t>
            </w:r>
          </w:p>
          <w:p w:rsidR="006A356F" w:rsidRPr="00D15774" w:rsidRDefault="006A356F" w:rsidP="00847327">
            <w:pPr>
              <w:jc w:val="center"/>
              <w:rPr>
                <w:bCs/>
                <w:sz w:val="20"/>
              </w:rPr>
            </w:pPr>
            <w:r w:rsidRPr="00D15774">
              <w:rPr>
                <w:bCs/>
                <w:sz w:val="20"/>
              </w:rPr>
              <w:t>Total</w:t>
            </w:r>
          </w:p>
        </w:tc>
      </w:tr>
      <w:tr w:rsidR="00847327" w:rsidRPr="00D15774" w:rsidTr="001A4283">
        <w:trPr>
          <w:trHeight w:val="288"/>
        </w:trPr>
        <w:tc>
          <w:tcPr>
            <w:tcW w:w="873" w:type="pct"/>
            <w:tcBorders>
              <w:top w:val="single" w:sz="10" w:space="0" w:color="000000"/>
              <w:left w:val="single" w:sz="10" w:space="0" w:color="000000"/>
              <w:bottom w:val="single" w:sz="10" w:space="0" w:color="000000"/>
              <w:right w:val="single" w:sz="10" w:space="0" w:color="000000"/>
            </w:tcBorders>
            <w:noWrap/>
            <w:vAlign w:val="bottom"/>
          </w:tcPr>
          <w:p w:rsidR="006A356F" w:rsidRPr="00D15774" w:rsidRDefault="006A356F" w:rsidP="0084732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Total Tons</w:t>
            </w:r>
          </w:p>
        </w:tc>
        <w:tc>
          <w:tcPr>
            <w:tcW w:w="556" w:type="pct"/>
            <w:shd w:val="clear" w:color="auto" w:fill="auto"/>
            <w:noWrap/>
            <w:vAlign w:val="bottom"/>
          </w:tcPr>
          <w:p w:rsidR="006A356F" w:rsidRPr="00D15774" w:rsidRDefault="006A356F" w:rsidP="00847327">
            <w:pPr>
              <w:jc w:val="center"/>
              <w:rPr>
                <w:color w:val="000000"/>
                <w:sz w:val="20"/>
              </w:rPr>
            </w:pPr>
            <w:r w:rsidRPr="00D15774">
              <w:rPr>
                <w:sz w:val="20"/>
              </w:rPr>
              <w:t>4,953</w:t>
            </w:r>
          </w:p>
        </w:tc>
        <w:tc>
          <w:tcPr>
            <w:tcW w:w="357" w:type="pct"/>
            <w:shd w:val="clear" w:color="auto" w:fill="auto"/>
            <w:noWrap/>
            <w:vAlign w:val="bottom"/>
          </w:tcPr>
          <w:p w:rsidR="006A356F" w:rsidRPr="00D15774" w:rsidRDefault="006A356F" w:rsidP="00847327">
            <w:pPr>
              <w:jc w:val="center"/>
              <w:rPr>
                <w:color w:val="000000"/>
                <w:sz w:val="20"/>
              </w:rPr>
            </w:pPr>
            <w:r w:rsidRPr="00D15774">
              <w:rPr>
                <w:sz w:val="20"/>
              </w:rPr>
              <w:t>4,974</w:t>
            </w:r>
          </w:p>
        </w:tc>
        <w:tc>
          <w:tcPr>
            <w:tcW w:w="397" w:type="pct"/>
            <w:shd w:val="clear" w:color="auto" w:fill="auto"/>
            <w:noWrap/>
            <w:vAlign w:val="bottom"/>
          </w:tcPr>
          <w:p w:rsidR="006A356F" w:rsidRPr="00D15774" w:rsidRDefault="006A356F" w:rsidP="00847327">
            <w:pPr>
              <w:jc w:val="center"/>
              <w:rPr>
                <w:color w:val="000000"/>
                <w:sz w:val="20"/>
              </w:rPr>
            </w:pPr>
            <w:r w:rsidRPr="00D15774">
              <w:rPr>
                <w:sz w:val="20"/>
              </w:rPr>
              <w:t>654</w:t>
            </w:r>
          </w:p>
        </w:tc>
        <w:tc>
          <w:tcPr>
            <w:tcW w:w="635" w:type="pct"/>
            <w:shd w:val="clear" w:color="auto" w:fill="auto"/>
            <w:noWrap/>
            <w:vAlign w:val="bottom"/>
          </w:tcPr>
          <w:p w:rsidR="006A356F" w:rsidRPr="00D15774" w:rsidRDefault="006A356F" w:rsidP="00847327">
            <w:pPr>
              <w:jc w:val="center"/>
              <w:rPr>
                <w:color w:val="000000"/>
                <w:sz w:val="20"/>
              </w:rPr>
            </w:pPr>
            <w:r w:rsidRPr="00D15774">
              <w:rPr>
                <w:sz w:val="20"/>
              </w:rPr>
              <w:t>554</w:t>
            </w:r>
          </w:p>
        </w:tc>
        <w:tc>
          <w:tcPr>
            <w:tcW w:w="476" w:type="pct"/>
            <w:shd w:val="clear" w:color="auto" w:fill="auto"/>
            <w:noWrap/>
            <w:vAlign w:val="bottom"/>
          </w:tcPr>
          <w:p w:rsidR="006A356F" w:rsidRPr="00D15774" w:rsidRDefault="006A356F" w:rsidP="00847327">
            <w:pPr>
              <w:jc w:val="center"/>
              <w:rPr>
                <w:color w:val="000000"/>
                <w:sz w:val="20"/>
              </w:rPr>
            </w:pPr>
            <w:r w:rsidRPr="00D15774">
              <w:rPr>
                <w:sz w:val="20"/>
              </w:rPr>
              <w:t>1,620</w:t>
            </w:r>
          </w:p>
        </w:tc>
        <w:tc>
          <w:tcPr>
            <w:tcW w:w="357" w:type="pct"/>
            <w:vAlign w:val="bottom"/>
          </w:tcPr>
          <w:p w:rsidR="006A356F" w:rsidRPr="00D15774" w:rsidRDefault="006A356F" w:rsidP="00847327">
            <w:pPr>
              <w:jc w:val="center"/>
              <w:rPr>
                <w:color w:val="000000"/>
                <w:sz w:val="20"/>
              </w:rPr>
            </w:pPr>
            <w:r w:rsidRPr="00D15774">
              <w:rPr>
                <w:sz w:val="20"/>
              </w:rPr>
              <w:t>258</w:t>
            </w:r>
          </w:p>
        </w:tc>
        <w:tc>
          <w:tcPr>
            <w:tcW w:w="516" w:type="pct"/>
            <w:vAlign w:val="bottom"/>
          </w:tcPr>
          <w:p w:rsidR="006A356F" w:rsidRPr="00D15774" w:rsidRDefault="006A356F" w:rsidP="00847327">
            <w:pPr>
              <w:jc w:val="center"/>
              <w:rPr>
                <w:color w:val="000000"/>
                <w:sz w:val="20"/>
              </w:rPr>
            </w:pPr>
            <w:r w:rsidRPr="00D15774">
              <w:rPr>
                <w:sz w:val="20"/>
              </w:rPr>
              <w:t>918</w:t>
            </w:r>
          </w:p>
        </w:tc>
        <w:tc>
          <w:tcPr>
            <w:tcW w:w="476" w:type="pct"/>
            <w:vAlign w:val="bottom"/>
          </w:tcPr>
          <w:p w:rsidR="006A356F" w:rsidRPr="00D15774" w:rsidRDefault="006A356F" w:rsidP="00847327">
            <w:pPr>
              <w:jc w:val="center"/>
              <w:rPr>
                <w:color w:val="000000"/>
                <w:sz w:val="20"/>
              </w:rPr>
            </w:pPr>
            <w:r w:rsidRPr="00D15774">
              <w:rPr>
                <w:sz w:val="20"/>
              </w:rPr>
              <w:t>456</w:t>
            </w:r>
          </w:p>
        </w:tc>
        <w:tc>
          <w:tcPr>
            <w:tcW w:w="357" w:type="pct"/>
            <w:vAlign w:val="bottom"/>
          </w:tcPr>
          <w:p w:rsidR="006A356F" w:rsidRPr="00D15774" w:rsidRDefault="006A356F" w:rsidP="00847327">
            <w:pPr>
              <w:jc w:val="center"/>
              <w:rPr>
                <w:color w:val="000000"/>
                <w:sz w:val="20"/>
              </w:rPr>
            </w:pPr>
            <w:r w:rsidRPr="00D15774">
              <w:rPr>
                <w:sz w:val="20"/>
              </w:rPr>
              <w:t>14,387</w:t>
            </w:r>
          </w:p>
        </w:tc>
      </w:tr>
      <w:tr w:rsidR="00847327" w:rsidRPr="00D15774" w:rsidTr="001A4283">
        <w:trPr>
          <w:trHeight w:val="350"/>
        </w:trPr>
        <w:tc>
          <w:tcPr>
            <w:tcW w:w="873" w:type="pct"/>
            <w:tcBorders>
              <w:top w:val="single" w:sz="10" w:space="0" w:color="000000"/>
              <w:left w:val="single" w:sz="10" w:space="0" w:color="000000"/>
              <w:bottom w:val="single" w:sz="10" w:space="0" w:color="000000"/>
              <w:right w:val="single" w:sz="10" w:space="0" w:color="000000"/>
            </w:tcBorders>
            <w:noWrap/>
            <w:vAlign w:val="center"/>
          </w:tcPr>
          <w:p w:rsidR="006A356F" w:rsidRPr="00D15774" w:rsidRDefault="006A356F" w:rsidP="001A4283">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center"/>
              <w:rPr>
                <w:sz w:val="20"/>
              </w:rPr>
            </w:pPr>
            <w:r w:rsidRPr="00D15774">
              <w:rPr>
                <w:sz w:val="20"/>
              </w:rPr>
              <w:t>Percent of Total</w:t>
            </w:r>
          </w:p>
        </w:tc>
        <w:tc>
          <w:tcPr>
            <w:tcW w:w="556" w:type="pct"/>
            <w:shd w:val="clear" w:color="auto" w:fill="auto"/>
            <w:noWrap/>
            <w:vAlign w:val="center"/>
          </w:tcPr>
          <w:p w:rsidR="006A356F" w:rsidRPr="00D15774" w:rsidRDefault="006A356F" w:rsidP="001A4283">
            <w:pPr>
              <w:jc w:val="center"/>
              <w:rPr>
                <w:color w:val="000000"/>
                <w:sz w:val="20"/>
              </w:rPr>
            </w:pPr>
            <w:r w:rsidRPr="00D15774">
              <w:rPr>
                <w:color w:val="000000"/>
                <w:sz w:val="20"/>
              </w:rPr>
              <w:t>34%</w:t>
            </w:r>
          </w:p>
        </w:tc>
        <w:tc>
          <w:tcPr>
            <w:tcW w:w="357" w:type="pct"/>
            <w:shd w:val="clear" w:color="auto" w:fill="auto"/>
            <w:noWrap/>
            <w:vAlign w:val="center"/>
          </w:tcPr>
          <w:p w:rsidR="006A356F" w:rsidRPr="00D15774" w:rsidRDefault="006A356F" w:rsidP="001A4283">
            <w:pPr>
              <w:jc w:val="center"/>
              <w:rPr>
                <w:color w:val="000000"/>
                <w:sz w:val="20"/>
              </w:rPr>
            </w:pPr>
            <w:r w:rsidRPr="00D15774">
              <w:rPr>
                <w:color w:val="000000"/>
                <w:sz w:val="20"/>
              </w:rPr>
              <w:t>35%</w:t>
            </w:r>
          </w:p>
        </w:tc>
        <w:tc>
          <w:tcPr>
            <w:tcW w:w="397" w:type="pct"/>
            <w:shd w:val="clear" w:color="auto" w:fill="auto"/>
            <w:noWrap/>
            <w:vAlign w:val="center"/>
          </w:tcPr>
          <w:p w:rsidR="006A356F" w:rsidRPr="00D15774" w:rsidRDefault="006A356F" w:rsidP="001A4283">
            <w:pPr>
              <w:jc w:val="center"/>
              <w:rPr>
                <w:color w:val="000000"/>
                <w:sz w:val="20"/>
              </w:rPr>
            </w:pPr>
            <w:r w:rsidRPr="00D15774">
              <w:rPr>
                <w:color w:val="000000"/>
                <w:sz w:val="20"/>
              </w:rPr>
              <w:t>5%</w:t>
            </w:r>
          </w:p>
        </w:tc>
        <w:tc>
          <w:tcPr>
            <w:tcW w:w="635" w:type="pct"/>
            <w:shd w:val="clear" w:color="auto" w:fill="auto"/>
            <w:noWrap/>
            <w:vAlign w:val="center"/>
          </w:tcPr>
          <w:p w:rsidR="006A356F" w:rsidRPr="00D15774" w:rsidRDefault="006A356F" w:rsidP="001A4283">
            <w:pPr>
              <w:jc w:val="center"/>
              <w:rPr>
                <w:color w:val="000000"/>
                <w:sz w:val="20"/>
              </w:rPr>
            </w:pPr>
            <w:r w:rsidRPr="00D15774">
              <w:rPr>
                <w:color w:val="000000"/>
                <w:sz w:val="20"/>
              </w:rPr>
              <w:t>4%</w:t>
            </w:r>
          </w:p>
        </w:tc>
        <w:tc>
          <w:tcPr>
            <w:tcW w:w="476" w:type="pct"/>
            <w:shd w:val="clear" w:color="auto" w:fill="auto"/>
            <w:noWrap/>
            <w:vAlign w:val="center"/>
          </w:tcPr>
          <w:p w:rsidR="006A356F" w:rsidRPr="00D15774" w:rsidRDefault="006A356F" w:rsidP="001A4283">
            <w:pPr>
              <w:jc w:val="center"/>
              <w:rPr>
                <w:color w:val="000000"/>
                <w:sz w:val="20"/>
              </w:rPr>
            </w:pPr>
            <w:r w:rsidRPr="00D15774">
              <w:rPr>
                <w:color w:val="000000"/>
                <w:sz w:val="20"/>
              </w:rPr>
              <w:t>11%</w:t>
            </w:r>
          </w:p>
        </w:tc>
        <w:tc>
          <w:tcPr>
            <w:tcW w:w="357" w:type="pct"/>
            <w:vAlign w:val="center"/>
          </w:tcPr>
          <w:p w:rsidR="006A356F" w:rsidRPr="00D15774" w:rsidRDefault="006A356F" w:rsidP="001A4283">
            <w:pPr>
              <w:jc w:val="center"/>
              <w:rPr>
                <w:color w:val="000000"/>
                <w:sz w:val="20"/>
              </w:rPr>
            </w:pPr>
            <w:r w:rsidRPr="00D15774">
              <w:rPr>
                <w:color w:val="000000"/>
                <w:sz w:val="20"/>
              </w:rPr>
              <w:t>2%</w:t>
            </w:r>
          </w:p>
        </w:tc>
        <w:tc>
          <w:tcPr>
            <w:tcW w:w="516" w:type="pct"/>
            <w:vAlign w:val="center"/>
          </w:tcPr>
          <w:p w:rsidR="006A356F" w:rsidRPr="00D15774" w:rsidRDefault="006A356F" w:rsidP="001A4283">
            <w:pPr>
              <w:jc w:val="center"/>
              <w:rPr>
                <w:color w:val="000000"/>
                <w:sz w:val="20"/>
              </w:rPr>
            </w:pPr>
            <w:r w:rsidRPr="00D15774">
              <w:rPr>
                <w:color w:val="000000"/>
                <w:sz w:val="20"/>
              </w:rPr>
              <w:t>6%</w:t>
            </w:r>
          </w:p>
        </w:tc>
        <w:tc>
          <w:tcPr>
            <w:tcW w:w="476" w:type="pct"/>
            <w:vAlign w:val="center"/>
          </w:tcPr>
          <w:p w:rsidR="006A356F" w:rsidRPr="00D15774" w:rsidRDefault="006A356F" w:rsidP="001A4283">
            <w:pPr>
              <w:jc w:val="center"/>
              <w:rPr>
                <w:color w:val="000000"/>
                <w:sz w:val="20"/>
              </w:rPr>
            </w:pPr>
            <w:r w:rsidRPr="00D15774">
              <w:rPr>
                <w:color w:val="000000"/>
                <w:sz w:val="20"/>
              </w:rPr>
              <w:t>3%</w:t>
            </w:r>
          </w:p>
        </w:tc>
        <w:tc>
          <w:tcPr>
            <w:tcW w:w="357" w:type="pct"/>
            <w:vAlign w:val="center"/>
          </w:tcPr>
          <w:p w:rsidR="006A356F" w:rsidRPr="00D15774" w:rsidRDefault="006A356F" w:rsidP="001A4283">
            <w:pPr>
              <w:jc w:val="center"/>
              <w:rPr>
                <w:color w:val="000000"/>
                <w:sz w:val="20"/>
              </w:rPr>
            </w:pPr>
            <w:r w:rsidRPr="00D15774">
              <w:rPr>
                <w:color w:val="000000"/>
                <w:sz w:val="20"/>
              </w:rPr>
              <w:t>100%</w:t>
            </w:r>
          </w:p>
        </w:tc>
      </w:tr>
      <w:tr w:rsidR="003732D7" w:rsidRPr="00D15774" w:rsidTr="001A4283">
        <w:trPr>
          <w:trHeight w:val="144"/>
        </w:trPr>
        <w:tc>
          <w:tcPr>
            <w:tcW w:w="873" w:type="pct"/>
            <w:tcBorders>
              <w:bottom w:val="double" w:sz="4" w:space="0" w:color="auto"/>
            </w:tcBorders>
            <w:shd w:val="clear" w:color="auto" w:fill="000000" w:themeFill="text1"/>
            <w:noWrap/>
            <w:vAlign w:val="bottom"/>
          </w:tcPr>
          <w:p w:rsidR="003732D7" w:rsidRPr="00D15774" w:rsidRDefault="003732D7" w:rsidP="003732D7">
            <w:pPr>
              <w:jc w:val="center"/>
              <w:rPr>
                <w:b/>
                <w:color w:val="0000FF"/>
                <w:sz w:val="20"/>
              </w:rPr>
            </w:pPr>
          </w:p>
        </w:tc>
        <w:tc>
          <w:tcPr>
            <w:tcW w:w="556" w:type="pct"/>
            <w:tcBorders>
              <w:bottom w:val="double" w:sz="4" w:space="0" w:color="auto"/>
            </w:tcBorders>
            <w:shd w:val="clear" w:color="auto" w:fill="000000" w:themeFill="text1"/>
            <w:noWrap/>
            <w:vAlign w:val="bottom"/>
          </w:tcPr>
          <w:p w:rsidR="003732D7" w:rsidRPr="00D15774" w:rsidRDefault="003732D7" w:rsidP="003732D7">
            <w:pPr>
              <w:jc w:val="center"/>
              <w:rPr>
                <w:b/>
                <w:color w:val="0000FF"/>
                <w:sz w:val="20"/>
              </w:rPr>
            </w:pPr>
          </w:p>
        </w:tc>
        <w:tc>
          <w:tcPr>
            <w:tcW w:w="357" w:type="pct"/>
            <w:tcBorders>
              <w:bottom w:val="double" w:sz="4" w:space="0" w:color="auto"/>
            </w:tcBorders>
            <w:shd w:val="clear" w:color="auto" w:fill="000000" w:themeFill="text1"/>
            <w:noWrap/>
            <w:vAlign w:val="bottom"/>
          </w:tcPr>
          <w:p w:rsidR="003732D7" w:rsidRPr="00D15774" w:rsidRDefault="003732D7" w:rsidP="003732D7">
            <w:pPr>
              <w:jc w:val="center"/>
              <w:rPr>
                <w:b/>
                <w:color w:val="0000FF"/>
                <w:sz w:val="20"/>
              </w:rPr>
            </w:pPr>
          </w:p>
        </w:tc>
        <w:tc>
          <w:tcPr>
            <w:tcW w:w="397" w:type="pct"/>
            <w:tcBorders>
              <w:bottom w:val="double" w:sz="4" w:space="0" w:color="auto"/>
            </w:tcBorders>
            <w:shd w:val="clear" w:color="auto" w:fill="000000" w:themeFill="text1"/>
            <w:noWrap/>
            <w:vAlign w:val="bottom"/>
          </w:tcPr>
          <w:p w:rsidR="003732D7" w:rsidRPr="00D15774" w:rsidRDefault="003732D7" w:rsidP="003732D7">
            <w:pPr>
              <w:jc w:val="center"/>
              <w:rPr>
                <w:b/>
                <w:color w:val="0000FF"/>
                <w:sz w:val="20"/>
              </w:rPr>
            </w:pPr>
          </w:p>
        </w:tc>
        <w:tc>
          <w:tcPr>
            <w:tcW w:w="635" w:type="pct"/>
            <w:tcBorders>
              <w:bottom w:val="double" w:sz="4" w:space="0" w:color="auto"/>
            </w:tcBorders>
            <w:shd w:val="clear" w:color="auto" w:fill="000000" w:themeFill="text1"/>
            <w:noWrap/>
            <w:vAlign w:val="bottom"/>
          </w:tcPr>
          <w:p w:rsidR="003732D7" w:rsidRPr="00D15774" w:rsidRDefault="003732D7" w:rsidP="003732D7">
            <w:pPr>
              <w:jc w:val="center"/>
              <w:rPr>
                <w:b/>
                <w:color w:val="0000FF"/>
                <w:sz w:val="20"/>
              </w:rPr>
            </w:pPr>
          </w:p>
        </w:tc>
        <w:tc>
          <w:tcPr>
            <w:tcW w:w="476" w:type="pct"/>
            <w:tcBorders>
              <w:bottom w:val="double" w:sz="4" w:space="0" w:color="auto"/>
            </w:tcBorders>
            <w:shd w:val="clear" w:color="auto" w:fill="000000" w:themeFill="text1"/>
            <w:noWrap/>
            <w:vAlign w:val="bottom"/>
          </w:tcPr>
          <w:p w:rsidR="003732D7" w:rsidRPr="00D15774" w:rsidRDefault="003732D7" w:rsidP="003732D7">
            <w:pPr>
              <w:jc w:val="center"/>
              <w:rPr>
                <w:b/>
                <w:color w:val="0000FF"/>
                <w:sz w:val="20"/>
              </w:rPr>
            </w:pPr>
          </w:p>
        </w:tc>
        <w:tc>
          <w:tcPr>
            <w:tcW w:w="357" w:type="pct"/>
            <w:tcBorders>
              <w:bottom w:val="double" w:sz="4" w:space="0" w:color="auto"/>
            </w:tcBorders>
            <w:shd w:val="clear" w:color="auto" w:fill="000000" w:themeFill="text1"/>
            <w:vAlign w:val="bottom"/>
          </w:tcPr>
          <w:p w:rsidR="003732D7" w:rsidRPr="00D15774" w:rsidRDefault="003732D7" w:rsidP="003732D7">
            <w:pPr>
              <w:jc w:val="center"/>
              <w:rPr>
                <w:b/>
                <w:color w:val="0000FF"/>
                <w:sz w:val="20"/>
              </w:rPr>
            </w:pPr>
          </w:p>
        </w:tc>
        <w:tc>
          <w:tcPr>
            <w:tcW w:w="516" w:type="pct"/>
            <w:tcBorders>
              <w:bottom w:val="double" w:sz="4" w:space="0" w:color="auto"/>
            </w:tcBorders>
            <w:shd w:val="clear" w:color="auto" w:fill="000000" w:themeFill="text1"/>
            <w:vAlign w:val="bottom"/>
          </w:tcPr>
          <w:p w:rsidR="003732D7" w:rsidRPr="00D15774" w:rsidRDefault="003732D7" w:rsidP="003732D7">
            <w:pPr>
              <w:jc w:val="center"/>
              <w:rPr>
                <w:b/>
                <w:color w:val="0000FF"/>
                <w:sz w:val="20"/>
              </w:rPr>
            </w:pPr>
          </w:p>
        </w:tc>
        <w:tc>
          <w:tcPr>
            <w:tcW w:w="476" w:type="pct"/>
            <w:tcBorders>
              <w:bottom w:val="double" w:sz="4" w:space="0" w:color="auto"/>
            </w:tcBorders>
            <w:shd w:val="clear" w:color="auto" w:fill="000000" w:themeFill="text1"/>
            <w:vAlign w:val="bottom"/>
          </w:tcPr>
          <w:p w:rsidR="003732D7" w:rsidRPr="00D15774" w:rsidRDefault="003732D7" w:rsidP="003732D7">
            <w:pPr>
              <w:jc w:val="center"/>
              <w:rPr>
                <w:b/>
                <w:color w:val="0000FF"/>
                <w:sz w:val="20"/>
              </w:rPr>
            </w:pPr>
          </w:p>
        </w:tc>
        <w:tc>
          <w:tcPr>
            <w:tcW w:w="357" w:type="pct"/>
            <w:tcBorders>
              <w:bottom w:val="double" w:sz="4" w:space="0" w:color="auto"/>
            </w:tcBorders>
            <w:shd w:val="clear" w:color="auto" w:fill="000000" w:themeFill="text1"/>
            <w:vAlign w:val="bottom"/>
          </w:tcPr>
          <w:p w:rsidR="003732D7" w:rsidRPr="00D15774" w:rsidRDefault="003732D7" w:rsidP="003732D7">
            <w:pPr>
              <w:jc w:val="center"/>
              <w:rPr>
                <w:b/>
                <w:color w:val="0000FF"/>
                <w:sz w:val="20"/>
              </w:rPr>
            </w:pPr>
          </w:p>
        </w:tc>
      </w:tr>
      <w:tr w:rsidR="003732D7" w:rsidRPr="00D15774" w:rsidTr="001A4283">
        <w:trPr>
          <w:trHeight w:val="288"/>
        </w:trPr>
        <w:tc>
          <w:tcPr>
            <w:tcW w:w="873" w:type="pct"/>
            <w:tcBorders>
              <w:top w:val="double" w:sz="4" w:space="0" w:color="auto"/>
            </w:tcBorders>
            <w:shd w:val="clear" w:color="auto" w:fill="auto"/>
            <w:noWrap/>
            <w:vAlign w:val="bottom"/>
          </w:tcPr>
          <w:p w:rsidR="003732D7" w:rsidRPr="00D15774" w:rsidRDefault="003732D7" w:rsidP="003732D7">
            <w:pPr>
              <w:jc w:val="center"/>
              <w:rPr>
                <w:sz w:val="20"/>
              </w:rPr>
            </w:pPr>
            <w:r w:rsidRPr="00D15774">
              <w:rPr>
                <w:sz w:val="20"/>
              </w:rPr>
              <w:t>Total (Tribal)</w:t>
            </w:r>
          </w:p>
        </w:tc>
        <w:tc>
          <w:tcPr>
            <w:tcW w:w="556" w:type="pct"/>
            <w:tcBorders>
              <w:top w:val="double" w:sz="4" w:space="0" w:color="auto"/>
            </w:tcBorders>
            <w:shd w:val="clear" w:color="auto" w:fill="auto"/>
            <w:noWrap/>
            <w:vAlign w:val="bottom"/>
          </w:tcPr>
          <w:p w:rsidR="003732D7" w:rsidRPr="00D15774" w:rsidRDefault="003732D7" w:rsidP="003732D7">
            <w:pPr>
              <w:jc w:val="center"/>
              <w:rPr>
                <w:sz w:val="20"/>
              </w:rPr>
            </w:pPr>
            <w:r w:rsidRPr="00D15774">
              <w:rPr>
                <w:sz w:val="20"/>
              </w:rPr>
              <w:t>90</w:t>
            </w:r>
          </w:p>
        </w:tc>
        <w:tc>
          <w:tcPr>
            <w:tcW w:w="357" w:type="pct"/>
            <w:tcBorders>
              <w:top w:val="double" w:sz="4" w:space="0" w:color="auto"/>
            </w:tcBorders>
            <w:shd w:val="clear" w:color="auto" w:fill="auto"/>
            <w:noWrap/>
            <w:vAlign w:val="bottom"/>
          </w:tcPr>
          <w:p w:rsidR="003732D7" w:rsidRPr="00D15774" w:rsidRDefault="003732D7" w:rsidP="003732D7">
            <w:pPr>
              <w:jc w:val="center"/>
              <w:rPr>
                <w:sz w:val="20"/>
              </w:rPr>
            </w:pPr>
            <w:r w:rsidRPr="00D15774">
              <w:rPr>
                <w:sz w:val="20"/>
              </w:rPr>
              <w:t>785</w:t>
            </w:r>
          </w:p>
        </w:tc>
        <w:tc>
          <w:tcPr>
            <w:tcW w:w="397" w:type="pct"/>
            <w:tcBorders>
              <w:top w:val="double" w:sz="4" w:space="0" w:color="auto"/>
            </w:tcBorders>
            <w:shd w:val="clear" w:color="auto" w:fill="auto"/>
            <w:noWrap/>
            <w:vAlign w:val="bottom"/>
          </w:tcPr>
          <w:p w:rsidR="003732D7" w:rsidRPr="00D15774" w:rsidRDefault="003732D7" w:rsidP="003732D7">
            <w:pPr>
              <w:jc w:val="center"/>
              <w:rPr>
                <w:sz w:val="20"/>
              </w:rPr>
            </w:pPr>
            <w:r w:rsidRPr="00D15774">
              <w:rPr>
                <w:sz w:val="20"/>
              </w:rPr>
              <w:t>23</w:t>
            </w:r>
          </w:p>
        </w:tc>
        <w:tc>
          <w:tcPr>
            <w:tcW w:w="635" w:type="pct"/>
            <w:tcBorders>
              <w:top w:val="double" w:sz="4" w:space="0" w:color="auto"/>
            </w:tcBorders>
            <w:shd w:val="clear" w:color="auto" w:fill="auto"/>
            <w:noWrap/>
            <w:vAlign w:val="bottom"/>
          </w:tcPr>
          <w:p w:rsidR="003732D7" w:rsidRPr="00D15774" w:rsidRDefault="003732D7" w:rsidP="003732D7">
            <w:pPr>
              <w:jc w:val="center"/>
              <w:rPr>
                <w:sz w:val="20"/>
              </w:rPr>
            </w:pPr>
            <w:r w:rsidRPr="00D15774">
              <w:rPr>
                <w:sz w:val="20"/>
              </w:rPr>
              <w:t>19</w:t>
            </w:r>
          </w:p>
        </w:tc>
        <w:tc>
          <w:tcPr>
            <w:tcW w:w="476" w:type="pct"/>
            <w:tcBorders>
              <w:top w:val="double" w:sz="4" w:space="0" w:color="auto"/>
            </w:tcBorders>
            <w:shd w:val="clear" w:color="auto" w:fill="auto"/>
            <w:noWrap/>
            <w:vAlign w:val="bottom"/>
          </w:tcPr>
          <w:p w:rsidR="003732D7" w:rsidRPr="00D15774" w:rsidRDefault="003732D7" w:rsidP="003732D7">
            <w:pPr>
              <w:jc w:val="center"/>
              <w:rPr>
                <w:sz w:val="20"/>
              </w:rPr>
            </w:pPr>
            <w:r w:rsidRPr="00D15774">
              <w:rPr>
                <w:sz w:val="20"/>
              </w:rPr>
              <w:t>108</w:t>
            </w:r>
          </w:p>
        </w:tc>
        <w:tc>
          <w:tcPr>
            <w:tcW w:w="357" w:type="pct"/>
            <w:tcBorders>
              <w:top w:val="double" w:sz="4" w:space="0" w:color="auto"/>
            </w:tcBorders>
            <w:vAlign w:val="bottom"/>
          </w:tcPr>
          <w:p w:rsidR="003732D7" w:rsidRPr="00D15774" w:rsidRDefault="003732D7" w:rsidP="003732D7">
            <w:pPr>
              <w:jc w:val="center"/>
              <w:rPr>
                <w:sz w:val="20"/>
              </w:rPr>
            </w:pPr>
            <w:r w:rsidRPr="00D15774">
              <w:rPr>
                <w:sz w:val="20"/>
              </w:rPr>
              <w:t>7</w:t>
            </w:r>
          </w:p>
        </w:tc>
        <w:tc>
          <w:tcPr>
            <w:tcW w:w="516" w:type="pct"/>
            <w:tcBorders>
              <w:top w:val="double" w:sz="4" w:space="0" w:color="auto"/>
            </w:tcBorders>
            <w:vAlign w:val="bottom"/>
          </w:tcPr>
          <w:p w:rsidR="003732D7" w:rsidRPr="00D15774" w:rsidRDefault="003732D7" w:rsidP="003732D7">
            <w:pPr>
              <w:jc w:val="center"/>
              <w:rPr>
                <w:sz w:val="20"/>
              </w:rPr>
            </w:pPr>
            <w:r w:rsidRPr="00D15774">
              <w:rPr>
                <w:sz w:val="20"/>
              </w:rPr>
              <w:t>77</w:t>
            </w:r>
          </w:p>
        </w:tc>
        <w:tc>
          <w:tcPr>
            <w:tcW w:w="476" w:type="pct"/>
            <w:tcBorders>
              <w:top w:val="double" w:sz="4" w:space="0" w:color="auto"/>
            </w:tcBorders>
            <w:vAlign w:val="bottom"/>
          </w:tcPr>
          <w:p w:rsidR="003732D7" w:rsidRPr="00D15774" w:rsidRDefault="003732D7" w:rsidP="003732D7">
            <w:pPr>
              <w:jc w:val="center"/>
              <w:rPr>
                <w:sz w:val="20"/>
              </w:rPr>
            </w:pPr>
            <w:r w:rsidRPr="00D15774">
              <w:rPr>
                <w:sz w:val="20"/>
              </w:rPr>
              <w:t>5</w:t>
            </w:r>
          </w:p>
        </w:tc>
        <w:tc>
          <w:tcPr>
            <w:tcW w:w="357" w:type="pct"/>
            <w:tcBorders>
              <w:top w:val="double" w:sz="4" w:space="0" w:color="auto"/>
            </w:tcBorders>
            <w:vAlign w:val="bottom"/>
          </w:tcPr>
          <w:p w:rsidR="003732D7" w:rsidRPr="00D15774" w:rsidRDefault="003732D7" w:rsidP="003732D7">
            <w:pPr>
              <w:jc w:val="center"/>
              <w:rPr>
                <w:sz w:val="20"/>
              </w:rPr>
            </w:pPr>
            <w:r w:rsidRPr="00D15774">
              <w:rPr>
                <w:sz w:val="20"/>
              </w:rPr>
              <w:t>1,114</w:t>
            </w:r>
          </w:p>
        </w:tc>
      </w:tr>
      <w:tr w:rsidR="003732D7" w:rsidRPr="00D15774" w:rsidTr="001A4283">
        <w:trPr>
          <w:trHeight w:val="360"/>
        </w:trPr>
        <w:tc>
          <w:tcPr>
            <w:tcW w:w="873" w:type="pct"/>
            <w:shd w:val="clear" w:color="auto" w:fill="auto"/>
            <w:noWrap/>
            <w:vAlign w:val="center"/>
          </w:tcPr>
          <w:p w:rsidR="003732D7" w:rsidRPr="00D15774" w:rsidRDefault="003732D7" w:rsidP="003732D7">
            <w:pPr>
              <w:jc w:val="center"/>
              <w:rPr>
                <w:sz w:val="20"/>
              </w:rPr>
            </w:pPr>
            <w:r w:rsidRPr="00D15774">
              <w:rPr>
                <w:sz w:val="20"/>
              </w:rPr>
              <w:t>Total (Non-Tribal)</w:t>
            </w:r>
          </w:p>
        </w:tc>
        <w:tc>
          <w:tcPr>
            <w:tcW w:w="556" w:type="pct"/>
            <w:shd w:val="clear" w:color="auto" w:fill="auto"/>
            <w:noWrap/>
            <w:vAlign w:val="center"/>
          </w:tcPr>
          <w:p w:rsidR="003732D7" w:rsidRPr="00D15774" w:rsidRDefault="003732D7" w:rsidP="003732D7">
            <w:pPr>
              <w:jc w:val="center"/>
              <w:rPr>
                <w:sz w:val="20"/>
              </w:rPr>
            </w:pPr>
            <w:r w:rsidRPr="00D15774">
              <w:rPr>
                <w:sz w:val="20"/>
              </w:rPr>
              <w:t>4,863</w:t>
            </w:r>
          </w:p>
        </w:tc>
        <w:tc>
          <w:tcPr>
            <w:tcW w:w="357" w:type="pct"/>
            <w:shd w:val="clear" w:color="auto" w:fill="auto"/>
            <w:noWrap/>
            <w:vAlign w:val="center"/>
          </w:tcPr>
          <w:p w:rsidR="003732D7" w:rsidRPr="00D15774" w:rsidRDefault="003732D7" w:rsidP="003732D7">
            <w:pPr>
              <w:jc w:val="center"/>
              <w:rPr>
                <w:sz w:val="20"/>
              </w:rPr>
            </w:pPr>
            <w:r w:rsidRPr="00D15774">
              <w:rPr>
                <w:sz w:val="20"/>
              </w:rPr>
              <w:t>4,189</w:t>
            </w:r>
          </w:p>
        </w:tc>
        <w:tc>
          <w:tcPr>
            <w:tcW w:w="397" w:type="pct"/>
            <w:shd w:val="clear" w:color="auto" w:fill="auto"/>
            <w:noWrap/>
            <w:vAlign w:val="center"/>
          </w:tcPr>
          <w:p w:rsidR="003732D7" w:rsidRPr="00D15774" w:rsidRDefault="003732D7" w:rsidP="003732D7">
            <w:pPr>
              <w:jc w:val="center"/>
              <w:rPr>
                <w:sz w:val="20"/>
              </w:rPr>
            </w:pPr>
            <w:r w:rsidRPr="00D15774">
              <w:rPr>
                <w:sz w:val="20"/>
              </w:rPr>
              <w:t>631</w:t>
            </w:r>
          </w:p>
        </w:tc>
        <w:tc>
          <w:tcPr>
            <w:tcW w:w="635" w:type="pct"/>
            <w:shd w:val="clear" w:color="auto" w:fill="auto"/>
            <w:noWrap/>
            <w:vAlign w:val="center"/>
          </w:tcPr>
          <w:p w:rsidR="003732D7" w:rsidRPr="00D15774" w:rsidRDefault="003732D7" w:rsidP="003732D7">
            <w:pPr>
              <w:jc w:val="center"/>
              <w:rPr>
                <w:sz w:val="20"/>
              </w:rPr>
            </w:pPr>
            <w:r w:rsidRPr="00D15774">
              <w:rPr>
                <w:sz w:val="20"/>
              </w:rPr>
              <w:t>535</w:t>
            </w:r>
          </w:p>
        </w:tc>
        <w:tc>
          <w:tcPr>
            <w:tcW w:w="476" w:type="pct"/>
            <w:shd w:val="clear" w:color="auto" w:fill="auto"/>
            <w:noWrap/>
            <w:vAlign w:val="center"/>
          </w:tcPr>
          <w:p w:rsidR="003732D7" w:rsidRPr="00D15774" w:rsidRDefault="003732D7" w:rsidP="003732D7">
            <w:pPr>
              <w:jc w:val="center"/>
              <w:rPr>
                <w:sz w:val="20"/>
              </w:rPr>
            </w:pPr>
            <w:r w:rsidRPr="00D15774">
              <w:rPr>
                <w:sz w:val="20"/>
              </w:rPr>
              <w:t>1,512</w:t>
            </w:r>
          </w:p>
        </w:tc>
        <w:tc>
          <w:tcPr>
            <w:tcW w:w="357" w:type="pct"/>
            <w:vAlign w:val="center"/>
          </w:tcPr>
          <w:p w:rsidR="003732D7" w:rsidRPr="00D15774" w:rsidRDefault="003732D7" w:rsidP="003732D7">
            <w:pPr>
              <w:jc w:val="center"/>
              <w:rPr>
                <w:sz w:val="20"/>
              </w:rPr>
            </w:pPr>
            <w:r w:rsidRPr="00D15774">
              <w:rPr>
                <w:sz w:val="20"/>
              </w:rPr>
              <w:t>251</w:t>
            </w:r>
          </w:p>
        </w:tc>
        <w:tc>
          <w:tcPr>
            <w:tcW w:w="516" w:type="pct"/>
            <w:vAlign w:val="center"/>
          </w:tcPr>
          <w:p w:rsidR="003732D7" w:rsidRPr="00D15774" w:rsidRDefault="003732D7" w:rsidP="003732D7">
            <w:pPr>
              <w:jc w:val="center"/>
              <w:rPr>
                <w:sz w:val="20"/>
              </w:rPr>
            </w:pPr>
            <w:r w:rsidRPr="00D15774">
              <w:rPr>
                <w:sz w:val="20"/>
              </w:rPr>
              <w:t>841</w:t>
            </w:r>
          </w:p>
        </w:tc>
        <w:tc>
          <w:tcPr>
            <w:tcW w:w="476" w:type="pct"/>
            <w:vAlign w:val="center"/>
          </w:tcPr>
          <w:p w:rsidR="003732D7" w:rsidRPr="00D15774" w:rsidRDefault="003732D7" w:rsidP="003732D7">
            <w:pPr>
              <w:jc w:val="center"/>
              <w:rPr>
                <w:sz w:val="20"/>
              </w:rPr>
            </w:pPr>
            <w:r w:rsidRPr="00D15774">
              <w:rPr>
                <w:sz w:val="20"/>
              </w:rPr>
              <w:t>451</w:t>
            </w:r>
          </w:p>
        </w:tc>
        <w:tc>
          <w:tcPr>
            <w:tcW w:w="357" w:type="pct"/>
            <w:vAlign w:val="center"/>
          </w:tcPr>
          <w:p w:rsidR="003732D7" w:rsidRPr="00D15774" w:rsidRDefault="003732D7" w:rsidP="003732D7">
            <w:pPr>
              <w:jc w:val="center"/>
              <w:rPr>
                <w:sz w:val="20"/>
              </w:rPr>
            </w:pPr>
            <w:r w:rsidRPr="00D15774">
              <w:rPr>
                <w:sz w:val="20"/>
              </w:rPr>
              <w:t>13,273</w:t>
            </w:r>
          </w:p>
        </w:tc>
      </w:tr>
    </w:tbl>
    <w:p w:rsidR="006A356F" w:rsidRPr="00D15774" w:rsidRDefault="006A356F" w:rsidP="008F5E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8F5E0D" w:rsidRPr="00D15774" w:rsidRDefault="008F5E0D" w:rsidP="008F5E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In the Wi</w:t>
      </w:r>
      <w:r w:rsidR="001A4283" w:rsidRPr="00D15774">
        <w:t xml:space="preserve">lliston </w:t>
      </w:r>
      <w:r w:rsidRPr="00D15774">
        <w:t xml:space="preserve">Basin </w:t>
      </w:r>
      <w:r w:rsidR="001A4283" w:rsidRPr="00D15774">
        <w:t>compressor (34%), artificial lift (11%) and miscellaneous engines (4%) form the</w:t>
      </w:r>
      <w:r w:rsidRPr="00D15774">
        <w:t xml:space="preserve"> largest </w:t>
      </w:r>
      <w:r w:rsidR="001A4283" w:rsidRPr="00D15774">
        <w:t>s</w:t>
      </w:r>
      <w:r w:rsidRPr="00D15774">
        <w:t>ource categor</w:t>
      </w:r>
      <w:r w:rsidR="001A4283" w:rsidRPr="00D15774">
        <w:t>y</w:t>
      </w:r>
      <w:r w:rsidRPr="00D15774">
        <w:t xml:space="preserve"> in 200</w:t>
      </w:r>
      <w:r w:rsidR="001A4283" w:rsidRPr="00D15774">
        <w:t>9</w:t>
      </w:r>
      <w:r w:rsidRPr="00D15774">
        <w:t xml:space="preserve">, with almost </w:t>
      </w:r>
      <w:r w:rsidR="001A4283" w:rsidRPr="00D15774">
        <w:t xml:space="preserve">half </w:t>
      </w:r>
      <w:r w:rsidRPr="00D15774">
        <w:t xml:space="preserve">of the </w:t>
      </w:r>
      <w:r w:rsidR="001A4283" w:rsidRPr="00D15774">
        <w:t xml:space="preserve">basin </w:t>
      </w:r>
      <w:r w:rsidRPr="00D15774">
        <w:t>NOx emissions</w:t>
      </w:r>
      <w:r w:rsidR="001A4283" w:rsidRPr="00D15774">
        <w:t xml:space="preserve"> attributable to these engines.</w:t>
      </w:r>
      <w:r w:rsidRPr="00D15774">
        <w:t xml:space="preserve">  This is followed by </w:t>
      </w:r>
      <w:r w:rsidR="00CE34C9" w:rsidRPr="00D15774">
        <w:t xml:space="preserve">35% from </w:t>
      </w:r>
      <w:r w:rsidR="001A4283" w:rsidRPr="00D15774">
        <w:t xml:space="preserve">drill rigs </w:t>
      </w:r>
      <w:r w:rsidR="00CE34C9" w:rsidRPr="00D15774">
        <w:t>engines</w:t>
      </w:r>
      <w:r w:rsidR="001A4283" w:rsidRPr="00D15774">
        <w:t xml:space="preserve">, </w:t>
      </w:r>
      <w:r w:rsidR="00CE34C9" w:rsidRPr="00D15774">
        <w:t xml:space="preserve">8% from </w:t>
      </w:r>
      <w:r w:rsidR="001A4283" w:rsidRPr="00D15774">
        <w:t>flaring</w:t>
      </w:r>
      <w:r w:rsidR="00CE34C9" w:rsidRPr="00D15774">
        <w:t xml:space="preserve"> activities</w:t>
      </w:r>
      <w:r w:rsidR="001A4283" w:rsidRPr="00D15774">
        <w:t xml:space="preserve"> </w:t>
      </w:r>
      <w:r w:rsidR="00CE34C9" w:rsidRPr="00D15774">
        <w:t>(casing head - 6</w:t>
      </w:r>
      <w:r w:rsidRPr="00D15774">
        <w:t>%</w:t>
      </w:r>
      <w:r w:rsidR="00CE34C9" w:rsidRPr="00D15774">
        <w:t xml:space="preserve"> and oil tank flaring – 2%)</w:t>
      </w:r>
      <w:r w:rsidRPr="00D15774">
        <w:t xml:space="preserve"> and </w:t>
      </w:r>
      <w:r w:rsidR="00CE34C9" w:rsidRPr="00D15774">
        <w:t>5</w:t>
      </w:r>
      <w:r w:rsidRPr="00D15774">
        <w:t>% from gas fired heaters.</w:t>
      </w:r>
    </w:p>
    <w:p w:rsidR="008F5E0D" w:rsidRPr="00D15774" w:rsidRDefault="008F5E0D" w:rsidP="008F5E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8F5E0D" w:rsidRPr="00D15774" w:rsidRDefault="008F5E0D" w:rsidP="008F5E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As cited throughout this analysis NOx is not covered by the federal NSPS, therefore </w:t>
      </w:r>
      <w:r w:rsidR="00715CCF" w:rsidRPr="00D15774">
        <w:t>future</w:t>
      </w:r>
      <w:r w:rsidRPr="00D15774">
        <w:t xml:space="preserve"> emission rates should not be affected </w:t>
      </w:r>
      <w:r w:rsidR="00715CCF" w:rsidRPr="00D15774">
        <w:t xml:space="preserve">by </w:t>
      </w:r>
      <w:r w:rsidRPr="00D15774">
        <w:t>Subpart OOOO</w:t>
      </w:r>
      <w:r w:rsidR="00715CCF" w:rsidRPr="00D15774">
        <w:t xml:space="preserve"> in this basin</w:t>
      </w:r>
      <w:r w:rsidRPr="00D15774">
        <w:t xml:space="preserve">.  There are some Indian Lands in the </w:t>
      </w:r>
      <w:r w:rsidR="00CE34C9" w:rsidRPr="00D15774">
        <w:t xml:space="preserve">Williston </w:t>
      </w:r>
      <w:r w:rsidRPr="00D15774">
        <w:t xml:space="preserve">Basin, thus the new “Permitting of Minor Sources on Indian Lands” regulation will affect the emissions of previously unpermitted small sources like field compressors, miscellaneous engines and heaters.  Federal permitting review will likely lower </w:t>
      </w:r>
      <w:r w:rsidR="00715CCF" w:rsidRPr="00D15774">
        <w:t>NOx</w:t>
      </w:r>
      <w:r w:rsidRPr="00D15774">
        <w:t xml:space="preserve"> emission totals on new sources in the future.  However, it is also likely there will be a number of existing sources that were never reported in the past, and now will be caught up in the federal regulation reporting requirements.  Thus we may actually see some increased NOx emissions show up </w:t>
      </w:r>
      <w:r w:rsidR="00715CCF" w:rsidRPr="00D15774">
        <w:t>in future emission inventories for</w:t>
      </w:r>
      <w:r w:rsidRPr="00D15774">
        <w:t xml:space="preserve"> Tribal Lands in the </w:t>
      </w:r>
      <w:r w:rsidR="00CE34C9" w:rsidRPr="00D15774">
        <w:t xml:space="preserve">Williston </w:t>
      </w:r>
      <w:r w:rsidRPr="00D15774">
        <w:t>Basin due to this permitting regulation.</w:t>
      </w:r>
    </w:p>
    <w:p w:rsidR="000A51FE" w:rsidRPr="00D15774" w:rsidRDefault="000A51FE" w:rsidP="008F5E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0A51FE" w:rsidRPr="00D15774" w:rsidRDefault="000A51FE" w:rsidP="000A51F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rPr>
          <w:szCs w:val="24"/>
          <w:lang w:val="en-CA"/>
        </w:rPr>
        <w:t>Regarding the 35% of NOx from Nonroad Mobile drill rig engines, the federal</w:t>
      </w:r>
      <w:r w:rsidRPr="00D15774">
        <w:rPr>
          <w:color w:val="000000"/>
          <w:szCs w:val="24"/>
        </w:rPr>
        <w:t xml:space="preserve"> Tier Standards take precedence and should be already accounted for in this inventory</w:t>
      </w:r>
    </w:p>
    <w:p w:rsidR="00DC6A38" w:rsidRPr="00D15774" w:rsidRDefault="00DC6A38" w:rsidP="008F5E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B17149" w:rsidRDefault="008F5E0D" w:rsidP="00C47C1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Table </w:t>
      </w:r>
      <w:r w:rsidR="00CE34C9" w:rsidRPr="00D15774">
        <w:t>2</w:t>
      </w:r>
      <w:r w:rsidR="00761A2D" w:rsidRPr="00D15774">
        <w:t>2</w:t>
      </w:r>
      <w:r w:rsidRPr="00D15774">
        <w:t xml:space="preserve"> contains a listing of the </w:t>
      </w:r>
      <w:r w:rsidR="00CE34C9" w:rsidRPr="00D15774">
        <w:t xml:space="preserve">Williston </w:t>
      </w:r>
      <w:r w:rsidRPr="00D15774">
        <w:t xml:space="preserve">Basin VOC emissions from ENVIRON’s above cited </w:t>
      </w:r>
      <w:r w:rsidR="00CE34C9" w:rsidRPr="00D15774">
        <w:t xml:space="preserve">June 25, 2013 </w:t>
      </w:r>
      <w:r w:rsidRPr="00D15774">
        <w:t>Technical Memo.</w:t>
      </w:r>
    </w:p>
    <w:p w:rsidR="00403DA7" w:rsidRPr="00C858C1" w:rsidRDefault="00A251C1" w:rsidP="00C858C1">
      <w:pPr>
        <w:pStyle w:val="Heading4"/>
      </w:pPr>
      <w:bookmarkStart w:id="134" w:name="_Toc369087048"/>
      <w:r w:rsidRPr="00C858C1">
        <w:lastRenderedPageBreak/>
        <w:t>Table 2</w:t>
      </w:r>
      <w:r w:rsidR="00761A2D" w:rsidRPr="00C858C1">
        <w:t>2</w:t>
      </w:r>
      <w:r w:rsidR="008F5E0D" w:rsidRPr="00C858C1">
        <w:t xml:space="preserve">: </w:t>
      </w:r>
      <w:r w:rsidR="00403DA7" w:rsidRPr="00C858C1">
        <w:t xml:space="preserve">Williston </w:t>
      </w:r>
      <w:r w:rsidR="008F5E0D" w:rsidRPr="00C858C1">
        <w:t>Basin 200</w:t>
      </w:r>
      <w:r w:rsidR="00403DA7" w:rsidRPr="00C858C1">
        <w:t>9</w:t>
      </w:r>
      <w:r w:rsidR="008F5E0D" w:rsidRPr="00C858C1">
        <w:t xml:space="preserve"> VOC Emission Sources (tpy)</w:t>
      </w:r>
      <w:bookmarkEnd w:id="134"/>
      <w:r w:rsidR="00A00DFF" w:rsidRPr="00C858C1">
        <w:rPr>
          <w:highlight w:val="yellow"/>
        </w:rPr>
        <w:fldChar w:fldCharType="begin"/>
      </w:r>
      <w:r w:rsidR="00A00DFF" w:rsidRPr="00C858C1">
        <w:rPr>
          <w:highlight w:val="yellow"/>
        </w:rPr>
        <w:instrText xml:space="preserve"> TC \l4 "Table 2</w:instrText>
      </w:r>
      <w:r w:rsidR="007F272E" w:rsidRPr="00C858C1">
        <w:rPr>
          <w:highlight w:val="yellow"/>
        </w:rPr>
        <w:instrText>2</w:instrText>
      </w:r>
      <w:r w:rsidR="00A00DFF" w:rsidRPr="00C858C1">
        <w:rPr>
          <w:highlight w:val="yellow"/>
        </w:rPr>
        <w:instrText>: Williston Basin 2009 VOC Emission Sources (TPY)</w:instrText>
      </w:r>
      <w:r w:rsidR="00A00DFF" w:rsidRPr="00C858C1">
        <w:rPr>
          <w:highlight w:val="yellow"/>
        </w:rPr>
        <w:fldChar w:fldCharType="end"/>
      </w:r>
    </w:p>
    <w:tbl>
      <w:tblPr>
        <w:tblW w:w="5571" w:type="pct"/>
        <w:tblInd w:w="-6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85"/>
        <w:gridCol w:w="1085"/>
        <w:gridCol w:w="1011"/>
        <w:gridCol w:w="1293"/>
        <w:gridCol w:w="922"/>
        <w:gridCol w:w="1106"/>
        <w:gridCol w:w="831"/>
        <w:gridCol w:w="824"/>
        <w:gridCol w:w="922"/>
        <w:gridCol w:w="1092"/>
        <w:gridCol w:w="1102"/>
      </w:tblGrid>
      <w:tr w:rsidR="00A251C1" w:rsidRPr="00D15774" w:rsidTr="00A00DFF">
        <w:trPr>
          <w:trHeight w:val="288"/>
          <w:tblHeader/>
        </w:trPr>
        <w:tc>
          <w:tcPr>
            <w:tcW w:w="746" w:type="pct"/>
            <w:shd w:val="clear" w:color="auto" w:fill="E0E0E0"/>
            <w:noWrap/>
            <w:vAlign w:val="bottom"/>
          </w:tcPr>
          <w:p w:rsidR="003732D7" w:rsidRPr="00D15774" w:rsidRDefault="003732D7" w:rsidP="0050104C">
            <w:pPr>
              <w:jc w:val="center"/>
              <w:rPr>
                <w:bCs/>
                <w:sz w:val="16"/>
                <w:szCs w:val="16"/>
              </w:rPr>
            </w:pPr>
          </w:p>
        </w:tc>
        <w:tc>
          <w:tcPr>
            <w:tcW w:w="453" w:type="pct"/>
            <w:shd w:val="clear" w:color="auto" w:fill="E0E0E0"/>
            <w:noWrap/>
            <w:vAlign w:val="bottom"/>
          </w:tcPr>
          <w:p w:rsidR="003732D7" w:rsidRPr="00D15774" w:rsidRDefault="003732D7" w:rsidP="0050104C">
            <w:pPr>
              <w:jc w:val="center"/>
              <w:rPr>
                <w:bCs/>
                <w:sz w:val="16"/>
                <w:szCs w:val="16"/>
              </w:rPr>
            </w:pPr>
            <w:r w:rsidRPr="00D15774">
              <w:rPr>
                <w:bCs/>
                <w:sz w:val="16"/>
                <w:szCs w:val="16"/>
              </w:rPr>
              <w:t>Pneumatic Devices</w:t>
            </w:r>
          </w:p>
        </w:tc>
        <w:tc>
          <w:tcPr>
            <w:tcW w:w="422" w:type="pct"/>
            <w:shd w:val="clear" w:color="auto" w:fill="E0E0E0"/>
            <w:noWrap/>
            <w:vAlign w:val="bottom"/>
          </w:tcPr>
          <w:p w:rsidR="003732D7" w:rsidRPr="00D15774" w:rsidRDefault="003732D7" w:rsidP="0050104C">
            <w:pPr>
              <w:jc w:val="center"/>
              <w:rPr>
                <w:bCs/>
                <w:sz w:val="16"/>
                <w:szCs w:val="16"/>
              </w:rPr>
            </w:pPr>
            <w:r w:rsidRPr="00D15774">
              <w:rPr>
                <w:bCs/>
                <w:sz w:val="16"/>
                <w:szCs w:val="16"/>
              </w:rPr>
              <w:t>Pneumatic Pumps</w:t>
            </w:r>
          </w:p>
        </w:tc>
        <w:tc>
          <w:tcPr>
            <w:tcW w:w="540" w:type="pct"/>
            <w:shd w:val="clear" w:color="auto" w:fill="E0E0E0"/>
            <w:noWrap/>
            <w:vAlign w:val="bottom"/>
          </w:tcPr>
          <w:p w:rsidR="003732D7" w:rsidRPr="00D15774" w:rsidRDefault="003732D7" w:rsidP="0050104C">
            <w:pPr>
              <w:jc w:val="center"/>
              <w:rPr>
                <w:bCs/>
                <w:sz w:val="16"/>
                <w:szCs w:val="16"/>
              </w:rPr>
            </w:pPr>
            <w:r w:rsidRPr="00D15774">
              <w:rPr>
                <w:bCs/>
                <w:sz w:val="16"/>
                <w:szCs w:val="16"/>
              </w:rPr>
              <w:t>Recompletion Venting</w:t>
            </w:r>
          </w:p>
        </w:tc>
        <w:tc>
          <w:tcPr>
            <w:tcW w:w="385" w:type="pct"/>
            <w:shd w:val="clear" w:color="auto" w:fill="E0E0E0"/>
            <w:noWrap/>
            <w:vAlign w:val="bottom"/>
          </w:tcPr>
          <w:p w:rsidR="003732D7" w:rsidRPr="00D15774" w:rsidRDefault="003732D7" w:rsidP="0050104C">
            <w:pPr>
              <w:jc w:val="center"/>
              <w:rPr>
                <w:bCs/>
                <w:sz w:val="16"/>
                <w:szCs w:val="16"/>
              </w:rPr>
            </w:pPr>
            <w:r w:rsidRPr="00D15774">
              <w:rPr>
                <w:bCs/>
                <w:sz w:val="16"/>
                <w:szCs w:val="16"/>
              </w:rPr>
              <w:t>Fugitives</w:t>
            </w:r>
          </w:p>
        </w:tc>
        <w:tc>
          <w:tcPr>
            <w:tcW w:w="462" w:type="pct"/>
            <w:shd w:val="clear" w:color="auto" w:fill="E0E0E0"/>
            <w:noWrap/>
            <w:vAlign w:val="bottom"/>
          </w:tcPr>
          <w:p w:rsidR="003732D7" w:rsidRPr="00D15774" w:rsidRDefault="003732D7" w:rsidP="0050104C">
            <w:pPr>
              <w:jc w:val="center"/>
              <w:rPr>
                <w:bCs/>
                <w:sz w:val="16"/>
                <w:szCs w:val="16"/>
              </w:rPr>
            </w:pPr>
            <w:r w:rsidRPr="00D15774">
              <w:rPr>
                <w:bCs/>
                <w:sz w:val="16"/>
                <w:szCs w:val="16"/>
              </w:rPr>
              <w:t>Condensate Tanks</w:t>
            </w:r>
          </w:p>
        </w:tc>
        <w:tc>
          <w:tcPr>
            <w:tcW w:w="347" w:type="pct"/>
            <w:shd w:val="clear" w:color="auto" w:fill="E0E0E0"/>
            <w:vAlign w:val="bottom"/>
          </w:tcPr>
          <w:p w:rsidR="003732D7" w:rsidRPr="00D15774" w:rsidRDefault="003732D7" w:rsidP="0050104C">
            <w:pPr>
              <w:jc w:val="center"/>
              <w:rPr>
                <w:bCs/>
                <w:sz w:val="16"/>
                <w:szCs w:val="16"/>
              </w:rPr>
            </w:pPr>
            <w:r w:rsidRPr="00D15774">
              <w:rPr>
                <w:bCs/>
                <w:sz w:val="16"/>
                <w:szCs w:val="16"/>
              </w:rPr>
              <w:t>Oil Tanks</w:t>
            </w:r>
          </w:p>
        </w:tc>
        <w:tc>
          <w:tcPr>
            <w:tcW w:w="344" w:type="pct"/>
            <w:shd w:val="clear" w:color="auto" w:fill="E0E0E0"/>
            <w:vAlign w:val="bottom"/>
          </w:tcPr>
          <w:p w:rsidR="003732D7" w:rsidRPr="00D15774" w:rsidRDefault="003732D7" w:rsidP="0050104C">
            <w:pPr>
              <w:jc w:val="center"/>
              <w:rPr>
                <w:bCs/>
                <w:sz w:val="16"/>
                <w:szCs w:val="16"/>
              </w:rPr>
            </w:pPr>
            <w:r w:rsidRPr="00D15774">
              <w:rPr>
                <w:bCs/>
                <w:sz w:val="16"/>
                <w:szCs w:val="16"/>
              </w:rPr>
              <w:t>Oil Well Truck Loading</w:t>
            </w:r>
          </w:p>
        </w:tc>
        <w:tc>
          <w:tcPr>
            <w:tcW w:w="385" w:type="pct"/>
            <w:shd w:val="clear" w:color="auto" w:fill="E0E0E0"/>
            <w:vAlign w:val="bottom"/>
          </w:tcPr>
          <w:p w:rsidR="003732D7" w:rsidRPr="00D15774" w:rsidRDefault="003732D7" w:rsidP="0050104C">
            <w:pPr>
              <w:jc w:val="center"/>
              <w:rPr>
                <w:bCs/>
                <w:sz w:val="16"/>
                <w:szCs w:val="16"/>
              </w:rPr>
            </w:pPr>
            <w:r w:rsidRPr="00D15774">
              <w:rPr>
                <w:bCs/>
                <w:sz w:val="16"/>
                <w:szCs w:val="16"/>
              </w:rPr>
              <w:t>Casing Head Gas Venting</w:t>
            </w:r>
          </w:p>
        </w:tc>
        <w:tc>
          <w:tcPr>
            <w:tcW w:w="456" w:type="pct"/>
            <w:shd w:val="clear" w:color="auto" w:fill="E0E0E0"/>
            <w:vAlign w:val="bottom"/>
          </w:tcPr>
          <w:p w:rsidR="003732D7" w:rsidRPr="00D15774" w:rsidRDefault="003732D7" w:rsidP="0050104C">
            <w:pPr>
              <w:jc w:val="center"/>
              <w:rPr>
                <w:bCs/>
                <w:sz w:val="16"/>
                <w:szCs w:val="16"/>
              </w:rPr>
            </w:pPr>
            <w:r w:rsidRPr="00D15774">
              <w:rPr>
                <w:bCs/>
                <w:sz w:val="16"/>
                <w:szCs w:val="16"/>
              </w:rPr>
              <w:t>Other Categories</w:t>
            </w:r>
          </w:p>
        </w:tc>
        <w:tc>
          <w:tcPr>
            <w:tcW w:w="461" w:type="pct"/>
            <w:shd w:val="clear" w:color="auto" w:fill="E0E0E0"/>
            <w:vAlign w:val="bottom"/>
          </w:tcPr>
          <w:p w:rsidR="003732D7" w:rsidRPr="00D15774" w:rsidRDefault="00A251C1" w:rsidP="0050104C">
            <w:pPr>
              <w:jc w:val="center"/>
              <w:rPr>
                <w:bCs/>
                <w:sz w:val="16"/>
                <w:szCs w:val="16"/>
              </w:rPr>
            </w:pPr>
            <w:r w:rsidRPr="00D15774">
              <w:rPr>
                <w:bCs/>
                <w:sz w:val="16"/>
                <w:szCs w:val="16"/>
              </w:rPr>
              <w:t xml:space="preserve">Grand </w:t>
            </w:r>
            <w:r w:rsidR="003732D7" w:rsidRPr="00D15774">
              <w:rPr>
                <w:bCs/>
                <w:sz w:val="16"/>
                <w:szCs w:val="16"/>
              </w:rPr>
              <w:t>Totals</w:t>
            </w:r>
          </w:p>
        </w:tc>
      </w:tr>
      <w:tr w:rsidR="00A251C1" w:rsidRPr="00D15774" w:rsidTr="00A00DFF">
        <w:trPr>
          <w:trHeight w:val="288"/>
        </w:trPr>
        <w:tc>
          <w:tcPr>
            <w:tcW w:w="746" w:type="pct"/>
            <w:shd w:val="clear" w:color="auto" w:fill="auto"/>
            <w:noWrap/>
            <w:vAlign w:val="bottom"/>
          </w:tcPr>
          <w:p w:rsidR="003732D7" w:rsidRPr="00D15774" w:rsidRDefault="003732D7" w:rsidP="0050104C">
            <w:pPr>
              <w:rPr>
                <w:b/>
                <w:sz w:val="16"/>
                <w:szCs w:val="16"/>
              </w:rPr>
            </w:pPr>
            <w:r w:rsidRPr="00D15774">
              <w:rPr>
                <w:sz w:val="20"/>
              </w:rPr>
              <w:t>Total Tons</w:t>
            </w:r>
          </w:p>
        </w:tc>
        <w:tc>
          <w:tcPr>
            <w:tcW w:w="453" w:type="pct"/>
            <w:shd w:val="clear" w:color="auto" w:fill="auto"/>
            <w:noWrap/>
            <w:vAlign w:val="bottom"/>
          </w:tcPr>
          <w:p w:rsidR="003732D7" w:rsidRPr="00D15774" w:rsidRDefault="003732D7" w:rsidP="0050104C">
            <w:pPr>
              <w:jc w:val="right"/>
              <w:rPr>
                <w:b/>
                <w:sz w:val="16"/>
                <w:szCs w:val="16"/>
              </w:rPr>
            </w:pPr>
            <w:r w:rsidRPr="00D15774">
              <w:rPr>
                <w:b/>
                <w:sz w:val="16"/>
                <w:szCs w:val="16"/>
              </w:rPr>
              <w:t>25,237</w:t>
            </w:r>
          </w:p>
        </w:tc>
        <w:tc>
          <w:tcPr>
            <w:tcW w:w="422" w:type="pct"/>
            <w:shd w:val="clear" w:color="auto" w:fill="auto"/>
            <w:noWrap/>
            <w:vAlign w:val="bottom"/>
          </w:tcPr>
          <w:p w:rsidR="003732D7" w:rsidRPr="00D15774" w:rsidRDefault="003732D7" w:rsidP="0050104C">
            <w:pPr>
              <w:jc w:val="right"/>
              <w:rPr>
                <w:b/>
                <w:sz w:val="16"/>
                <w:szCs w:val="16"/>
              </w:rPr>
            </w:pPr>
            <w:r w:rsidRPr="00D15774">
              <w:rPr>
                <w:b/>
                <w:sz w:val="16"/>
                <w:szCs w:val="16"/>
              </w:rPr>
              <w:t>26,861</w:t>
            </w:r>
          </w:p>
        </w:tc>
        <w:tc>
          <w:tcPr>
            <w:tcW w:w="540" w:type="pct"/>
            <w:shd w:val="clear" w:color="auto" w:fill="auto"/>
            <w:noWrap/>
            <w:vAlign w:val="bottom"/>
          </w:tcPr>
          <w:p w:rsidR="003732D7" w:rsidRPr="00D15774" w:rsidRDefault="003732D7" w:rsidP="0050104C">
            <w:pPr>
              <w:jc w:val="right"/>
              <w:rPr>
                <w:b/>
                <w:sz w:val="16"/>
                <w:szCs w:val="16"/>
              </w:rPr>
            </w:pPr>
            <w:r w:rsidRPr="00D15774">
              <w:rPr>
                <w:b/>
                <w:sz w:val="16"/>
                <w:szCs w:val="16"/>
              </w:rPr>
              <w:t>1,700</w:t>
            </w:r>
          </w:p>
        </w:tc>
        <w:tc>
          <w:tcPr>
            <w:tcW w:w="385" w:type="pct"/>
            <w:shd w:val="clear" w:color="auto" w:fill="auto"/>
            <w:noWrap/>
            <w:vAlign w:val="bottom"/>
          </w:tcPr>
          <w:p w:rsidR="003732D7" w:rsidRPr="00D15774" w:rsidRDefault="003732D7" w:rsidP="0050104C">
            <w:pPr>
              <w:jc w:val="right"/>
              <w:rPr>
                <w:b/>
                <w:sz w:val="16"/>
                <w:szCs w:val="16"/>
              </w:rPr>
            </w:pPr>
            <w:r w:rsidRPr="00D15774">
              <w:rPr>
                <w:b/>
                <w:sz w:val="16"/>
                <w:szCs w:val="16"/>
              </w:rPr>
              <w:t>7,836</w:t>
            </w:r>
          </w:p>
        </w:tc>
        <w:tc>
          <w:tcPr>
            <w:tcW w:w="462" w:type="pct"/>
            <w:shd w:val="clear" w:color="auto" w:fill="auto"/>
            <w:noWrap/>
            <w:vAlign w:val="bottom"/>
          </w:tcPr>
          <w:p w:rsidR="003732D7" w:rsidRPr="00D15774" w:rsidRDefault="003732D7" w:rsidP="0050104C">
            <w:pPr>
              <w:jc w:val="right"/>
              <w:rPr>
                <w:b/>
                <w:sz w:val="16"/>
                <w:szCs w:val="16"/>
              </w:rPr>
            </w:pPr>
            <w:r w:rsidRPr="00D15774">
              <w:rPr>
                <w:b/>
                <w:sz w:val="16"/>
                <w:szCs w:val="16"/>
              </w:rPr>
              <w:t>26,692</w:t>
            </w:r>
          </w:p>
        </w:tc>
        <w:tc>
          <w:tcPr>
            <w:tcW w:w="347" w:type="pct"/>
            <w:vAlign w:val="bottom"/>
          </w:tcPr>
          <w:p w:rsidR="003732D7" w:rsidRPr="00D15774" w:rsidRDefault="003732D7" w:rsidP="0050104C">
            <w:pPr>
              <w:jc w:val="right"/>
              <w:rPr>
                <w:b/>
                <w:sz w:val="16"/>
                <w:szCs w:val="16"/>
              </w:rPr>
            </w:pPr>
            <w:r w:rsidRPr="00D15774">
              <w:rPr>
                <w:b/>
                <w:sz w:val="16"/>
                <w:szCs w:val="16"/>
              </w:rPr>
              <w:t>227,035</w:t>
            </w:r>
          </w:p>
        </w:tc>
        <w:tc>
          <w:tcPr>
            <w:tcW w:w="344" w:type="pct"/>
            <w:vAlign w:val="bottom"/>
          </w:tcPr>
          <w:p w:rsidR="003732D7" w:rsidRPr="00D15774" w:rsidRDefault="003732D7" w:rsidP="0050104C">
            <w:pPr>
              <w:jc w:val="right"/>
              <w:rPr>
                <w:b/>
                <w:sz w:val="16"/>
                <w:szCs w:val="16"/>
              </w:rPr>
            </w:pPr>
            <w:r w:rsidRPr="00D15774">
              <w:rPr>
                <w:b/>
                <w:sz w:val="16"/>
                <w:szCs w:val="16"/>
              </w:rPr>
              <w:t>7,392</w:t>
            </w:r>
          </w:p>
        </w:tc>
        <w:tc>
          <w:tcPr>
            <w:tcW w:w="385" w:type="pct"/>
            <w:vAlign w:val="bottom"/>
          </w:tcPr>
          <w:p w:rsidR="003732D7" w:rsidRPr="00D15774" w:rsidRDefault="003732D7" w:rsidP="0050104C">
            <w:pPr>
              <w:jc w:val="right"/>
              <w:rPr>
                <w:b/>
                <w:sz w:val="16"/>
                <w:szCs w:val="16"/>
              </w:rPr>
            </w:pPr>
            <w:r w:rsidRPr="00D15774">
              <w:rPr>
                <w:b/>
                <w:sz w:val="16"/>
                <w:szCs w:val="16"/>
              </w:rPr>
              <w:t>27,184</w:t>
            </w:r>
          </w:p>
        </w:tc>
        <w:tc>
          <w:tcPr>
            <w:tcW w:w="456" w:type="pct"/>
            <w:vAlign w:val="bottom"/>
          </w:tcPr>
          <w:p w:rsidR="003732D7" w:rsidRPr="00D15774" w:rsidRDefault="003732D7" w:rsidP="0050104C">
            <w:pPr>
              <w:jc w:val="right"/>
              <w:rPr>
                <w:b/>
                <w:sz w:val="16"/>
                <w:szCs w:val="16"/>
              </w:rPr>
            </w:pPr>
            <w:r w:rsidRPr="00D15774">
              <w:rPr>
                <w:b/>
                <w:sz w:val="16"/>
                <w:szCs w:val="16"/>
              </w:rPr>
              <w:t>7,861</w:t>
            </w:r>
          </w:p>
        </w:tc>
        <w:tc>
          <w:tcPr>
            <w:tcW w:w="461" w:type="pct"/>
            <w:vAlign w:val="bottom"/>
          </w:tcPr>
          <w:p w:rsidR="003732D7" w:rsidRPr="00D15774" w:rsidRDefault="003732D7" w:rsidP="0050104C">
            <w:pPr>
              <w:jc w:val="right"/>
              <w:rPr>
                <w:b/>
                <w:sz w:val="16"/>
                <w:szCs w:val="16"/>
              </w:rPr>
            </w:pPr>
            <w:r w:rsidRPr="00D15774">
              <w:rPr>
                <w:b/>
                <w:sz w:val="16"/>
                <w:szCs w:val="16"/>
              </w:rPr>
              <w:t>357,798</w:t>
            </w:r>
          </w:p>
        </w:tc>
      </w:tr>
      <w:tr w:rsidR="00A251C1" w:rsidRPr="00D15774" w:rsidTr="00A00DFF">
        <w:trPr>
          <w:trHeight w:val="228"/>
        </w:trPr>
        <w:tc>
          <w:tcPr>
            <w:tcW w:w="746" w:type="pct"/>
            <w:shd w:val="clear" w:color="auto" w:fill="auto"/>
            <w:noWrap/>
            <w:vAlign w:val="bottom"/>
          </w:tcPr>
          <w:p w:rsidR="003732D7" w:rsidRPr="00D15774" w:rsidRDefault="003732D7" w:rsidP="0050104C">
            <w:pPr>
              <w:rPr>
                <w:color w:val="0000FF"/>
                <w:sz w:val="16"/>
                <w:szCs w:val="16"/>
              </w:rPr>
            </w:pPr>
            <w:r w:rsidRPr="00D15774">
              <w:rPr>
                <w:sz w:val="20"/>
              </w:rPr>
              <w:t>Percent of Total</w:t>
            </w:r>
          </w:p>
        </w:tc>
        <w:tc>
          <w:tcPr>
            <w:tcW w:w="453" w:type="pct"/>
            <w:shd w:val="clear" w:color="auto" w:fill="auto"/>
            <w:noWrap/>
            <w:vAlign w:val="bottom"/>
          </w:tcPr>
          <w:p w:rsidR="003732D7" w:rsidRPr="00D15774" w:rsidRDefault="003732D7" w:rsidP="0050104C">
            <w:pPr>
              <w:jc w:val="right"/>
              <w:rPr>
                <w:sz w:val="16"/>
                <w:szCs w:val="16"/>
              </w:rPr>
            </w:pPr>
            <w:r w:rsidRPr="00D15774">
              <w:rPr>
                <w:sz w:val="16"/>
                <w:szCs w:val="16"/>
              </w:rPr>
              <w:t>7%</w:t>
            </w:r>
          </w:p>
        </w:tc>
        <w:tc>
          <w:tcPr>
            <w:tcW w:w="422" w:type="pct"/>
            <w:shd w:val="clear" w:color="auto" w:fill="auto"/>
            <w:noWrap/>
            <w:vAlign w:val="bottom"/>
          </w:tcPr>
          <w:p w:rsidR="003732D7" w:rsidRPr="00D15774" w:rsidRDefault="003732D7" w:rsidP="0050104C">
            <w:pPr>
              <w:jc w:val="right"/>
              <w:rPr>
                <w:sz w:val="16"/>
                <w:szCs w:val="16"/>
              </w:rPr>
            </w:pPr>
            <w:r w:rsidRPr="00D15774">
              <w:rPr>
                <w:sz w:val="16"/>
                <w:szCs w:val="16"/>
              </w:rPr>
              <w:t>8%</w:t>
            </w:r>
          </w:p>
        </w:tc>
        <w:tc>
          <w:tcPr>
            <w:tcW w:w="540" w:type="pct"/>
            <w:shd w:val="clear" w:color="auto" w:fill="auto"/>
            <w:noWrap/>
            <w:vAlign w:val="bottom"/>
          </w:tcPr>
          <w:p w:rsidR="003732D7" w:rsidRPr="00D15774" w:rsidRDefault="003732D7" w:rsidP="0050104C">
            <w:pPr>
              <w:jc w:val="right"/>
              <w:rPr>
                <w:sz w:val="16"/>
                <w:szCs w:val="16"/>
              </w:rPr>
            </w:pPr>
            <w:r w:rsidRPr="00D15774">
              <w:rPr>
                <w:sz w:val="16"/>
                <w:szCs w:val="16"/>
              </w:rPr>
              <w:t>1%</w:t>
            </w:r>
          </w:p>
        </w:tc>
        <w:tc>
          <w:tcPr>
            <w:tcW w:w="385" w:type="pct"/>
            <w:shd w:val="clear" w:color="auto" w:fill="auto"/>
            <w:noWrap/>
            <w:vAlign w:val="bottom"/>
          </w:tcPr>
          <w:p w:rsidR="003732D7" w:rsidRPr="00D15774" w:rsidRDefault="003732D7" w:rsidP="0050104C">
            <w:pPr>
              <w:jc w:val="right"/>
              <w:rPr>
                <w:sz w:val="16"/>
                <w:szCs w:val="16"/>
              </w:rPr>
            </w:pPr>
            <w:r w:rsidRPr="00D15774">
              <w:rPr>
                <w:sz w:val="16"/>
                <w:szCs w:val="16"/>
              </w:rPr>
              <w:t>2%</w:t>
            </w:r>
          </w:p>
        </w:tc>
        <w:tc>
          <w:tcPr>
            <w:tcW w:w="462" w:type="pct"/>
            <w:shd w:val="clear" w:color="auto" w:fill="auto"/>
            <w:noWrap/>
            <w:vAlign w:val="bottom"/>
          </w:tcPr>
          <w:p w:rsidR="003732D7" w:rsidRPr="00D15774" w:rsidRDefault="003732D7" w:rsidP="0050104C">
            <w:pPr>
              <w:jc w:val="right"/>
              <w:rPr>
                <w:sz w:val="16"/>
                <w:szCs w:val="16"/>
              </w:rPr>
            </w:pPr>
            <w:r w:rsidRPr="00D15774">
              <w:rPr>
                <w:sz w:val="16"/>
                <w:szCs w:val="16"/>
              </w:rPr>
              <w:t>7%</w:t>
            </w:r>
          </w:p>
        </w:tc>
        <w:tc>
          <w:tcPr>
            <w:tcW w:w="347" w:type="pct"/>
            <w:vAlign w:val="bottom"/>
          </w:tcPr>
          <w:p w:rsidR="003732D7" w:rsidRPr="00D15774" w:rsidRDefault="003732D7" w:rsidP="0050104C">
            <w:pPr>
              <w:jc w:val="right"/>
              <w:rPr>
                <w:sz w:val="16"/>
                <w:szCs w:val="16"/>
              </w:rPr>
            </w:pPr>
            <w:r w:rsidRPr="00D15774">
              <w:rPr>
                <w:sz w:val="16"/>
                <w:szCs w:val="16"/>
              </w:rPr>
              <w:t>63%</w:t>
            </w:r>
          </w:p>
        </w:tc>
        <w:tc>
          <w:tcPr>
            <w:tcW w:w="344" w:type="pct"/>
            <w:vAlign w:val="bottom"/>
          </w:tcPr>
          <w:p w:rsidR="003732D7" w:rsidRPr="00D15774" w:rsidRDefault="003732D7" w:rsidP="0050104C">
            <w:pPr>
              <w:jc w:val="right"/>
              <w:rPr>
                <w:sz w:val="16"/>
                <w:szCs w:val="16"/>
              </w:rPr>
            </w:pPr>
            <w:r w:rsidRPr="00D15774">
              <w:rPr>
                <w:sz w:val="16"/>
                <w:szCs w:val="16"/>
              </w:rPr>
              <w:t>2%</w:t>
            </w:r>
          </w:p>
        </w:tc>
        <w:tc>
          <w:tcPr>
            <w:tcW w:w="385" w:type="pct"/>
            <w:vAlign w:val="bottom"/>
          </w:tcPr>
          <w:p w:rsidR="003732D7" w:rsidRPr="00D15774" w:rsidRDefault="003732D7" w:rsidP="0050104C">
            <w:pPr>
              <w:jc w:val="right"/>
              <w:rPr>
                <w:sz w:val="16"/>
                <w:szCs w:val="16"/>
              </w:rPr>
            </w:pPr>
            <w:r w:rsidRPr="00D15774">
              <w:rPr>
                <w:sz w:val="16"/>
                <w:szCs w:val="16"/>
              </w:rPr>
              <w:t>8%</w:t>
            </w:r>
          </w:p>
        </w:tc>
        <w:tc>
          <w:tcPr>
            <w:tcW w:w="456" w:type="pct"/>
            <w:vAlign w:val="bottom"/>
          </w:tcPr>
          <w:p w:rsidR="003732D7" w:rsidRPr="00D15774" w:rsidRDefault="003732D7" w:rsidP="0050104C">
            <w:pPr>
              <w:jc w:val="right"/>
              <w:rPr>
                <w:sz w:val="16"/>
                <w:szCs w:val="16"/>
              </w:rPr>
            </w:pPr>
            <w:r w:rsidRPr="00D15774">
              <w:rPr>
                <w:sz w:val="16"/>
                <w:szCs w:val="16"/>
              </w:rPr>
              <w:t>2%</w:t>
            </w:r>
          </w:p>
        </w:tc>
        <w:tc>
          <w:tcPr>
            <w:tcW w:w="461" w:type="pct"/>
            <w:vAlign w:val="bottom"/>
          </w:tcPr>
          <w:p w:rsidR="003732D7" w:rsidRPr="00D15774" w:rsidRDefault="003732D7" w:rsidP="0050104C">
            <w:pPr>
              <w:jc w:val="right"/>
              <w:rPr>
                <w:sz w:val="16"/>
                <w:szCs w:val="16"/>
              </w:rPr>
            </w:pPr>
            <w:r w:rsidRPr="00D15774">
              <w:rPr>
                <w:sz w:val="16"/>
                <w:szCs w:val="16"/>
              </w:rPr>
              <w:t>100%</w:t>
            </w:r>
          </w:p>
        </w:tc>
      </w:tr>
      <w:tr w:rsidR="00A251C1" w:rsidRPr="00D15774" w:rsidTr="00A00DFF">
        <w:trPr>
          <w:trHeight w:val="135"/>
        </w:trPr>
        <w:tc>
          <w:tcPr>
            <w:tcW w:w="746" w:type="pct"/>
            <w:tcBorders>
              <w:bottom w:val="double" w:sz="4" w:space="0" w:color="auto"/>
            </w:tcBorders>
            <w:shd w:val="clear" w:color="auto" w:fill="000000" w:themeFill="text1"/>
            <w:noWrap/>
            <w:vAlign w:val="bottom"/>
          </w:tcPr>
          <w:p w:rsidR="003732D7" w:rsidRPr="00D15774" w:rsidRDefault="003732D7" w:rsidP="0050104C">
            <w:pPr>
              <w:jc w:val="center"/>
              <w:rPr>
                <w:b/>
                <w:color w:val="0000FF"/>
                <w:sz w:val="20"/>
              </w:rPr>
            </w:pPr>
          </w:p>
        </w:tc>
        <w:tc>
          <w:tcPr>
            <w:tcW w:w="453" w:type="pct"/>
            <w:tcBorders>
              <w:bottom w:val="double" w:sz="4" w:space="0" w:color="auto"/>
            </w:tcBorders>
            <w:shd w:val="clear" w:color="auto" w:fill="000000" w:themeFill="text1"/>
            <w:noWrap/>
            <w:vAlign w:val="bottom"/>
          </w:tcPr>
          <w:p w:rsidR="003732D7" w:rsidRPr="00D15774" w:rsidRDefault="003732D7" w:rsidP="0050104C">
            <w:pPr>
              <w:jc w:val="center"/>
              <w:rPr>
                <w:b/>
                <w:color w:val="0000FF"/>
                <w:sz w:val="20"/>
              </w:rPr>
            </w:pPr>
          </w:p>
        </w:tc>
        <w:tc>
          <w:tcPr>
            <w:tcW w:w="422" w:type="pct"/>
            <w:tcBorders>
              <w:bottom w:val="double" w:sz="4" w:space="0" w:color="auto"/>
            </w:tcBorders>
            <w:shd w:val="clear" w:color="auto" w:fill="000000" w:themeFill="text1"/>
            <w:noWrap/>
            <w:vAlign w:val="bottom"/>
          </w:tcPr>
          <w:p w:rsidR="003732D7" w:rsidRPr="00D15774" w:rsidRDefault="003732D7" w:rsidP="0050104C">
            <w:pPr>
              <w:jc w:val="center"/>
              <w:rPr>
                <w:b/>
                <w:color w:val="0000FF"/>
                <w:sz w:val="20"/>
              </w:rPr>
            </w:pPr>
          </w:p>
        </w:tc>
        <w:tc>
          <w:tcPr>
            <w:tcW w:w="540" w:type="pct"/>
            <w:tcBorders>
              <w:bottom w:val="double" w:sz="4" w:space="0" w:color="auto"/>
            </w:tcBorders>
            <w:shd w:val="clear" w:color="auto" w:fill="000000" w:themeFill="text1"/>
            <w:noWrap/>
            <w:vAlign w:val="bottom"/>
          </w:tcPr>
          <w:p w:rsidR="003732D7" w:rsidRPr="00D15774" w:rsidRDefault="003732D7" w:rsidP="0050104C">
            <w:pPr>
              <w:jc w:val="center"/>
              <w:rPr>
                <w:b/>
                <w:color w:val="0000FF"/>
                <w:sz w:val="20"/>
              </w:rPr>
            </w:pPr>
          </w:p>
        </w:tc>
        <w:tc>
          <w:tcPr>
            <w:tcW w:w="385" w:type="pct"/>
            <w:tcBorders>
              <w:bottom w:val="double" w:sz="4" w:space="0" w:color="auto"/>
            </w:tcBorders>
            <w:shd w:val="clear" w:color="auto" w:fill="000000" w:themeFill="text1"/>
            <w:noWrap/>
            <w:vAlign w:val="bottom"/>
          </w:tcPr>
          <w:p w:rsidR="003732D7" w:rsidRPr="00D15774" w:rsidRDefault="003732D7" w:rsidP="0050104C">
            <w:pPr>
              <w:jc w:val="center"/>
              <w:rPr>
                <w:b/>
                <w:color w:val="0000FF"/>
                <w:sz w:val="20"/>
              </w:rPr>
            </w:pPr>
          </w:p>
        </w:tc>
        <w:tc>
          <w:tcPr>
            <w:tcW w:w="462" w:type="pct"/>
            <w:tcBorders>
              <w:bottom w:val="double" w:sz="4" w:space="0" w:color="auto"/>
            </w:tcBorders>
            <w:shd w:val="clear" w:color="auto" w:fill="000000" w:themeFill="text1"/>
            <w:noWrap/>
            <w:vAlign w:val="bottom"/>
          </w:tcPr>
          <w:p w:rsidR="003732D7" w:rsidRPr="00D15774" w:rsidRDefault="003732D7" w:rsidP="0050104C">
            <w:pPr>
              <w:jc w:val="center"/>
              <w:rPr>
                <w:b/>
                <w:color w:val="0000FF"/>
                <w:sz w:val="20"/>
              </w:rPr>
            </w:pPr>
          </w:p>
        </w:tc>
        <w:tc>
          <w:tcPr>
            <w:tcW w:w="347" w:type="pct"/>
            <w:tcBorders>
              <w:bottom w:val="double" w:sz="4" w:space="0" w:color="auto"/>
            </w:tcBorders>
            <w:shd w:val="clear" w:color="auto" w:fill="000000" w:themeFill="text1"/>
            <w:vAlign w:val="bottom"/>
          </w:tcPr>
          <w:p w:rsidR="003732D7" w:rsidRPr="00D15774" w:rsidRDefault="003732D7" w:rsidP="0050104C">
            <w:pPr>
              <w:jc w:val="center"/>
              <w:rPr>
                <w:b/>
                <w:color w:val="0000FF"/>
                <w:sz w:val="20"/>
              </w:rPr>
            </w:pPr>
          </w:p>
        </w:tc>
        <w:tc>
          <w:tcPr>
            <w:tcW w:w="344" w:type="pct"/>
            <w:tcBorders>
              <w:bottom w:val="double" w:sz="4" w:space="0" w:color="auto"/>
            </w:tcBorders>
            <w:shd w:val="clear" w:color="auto" w:fill="000000" w:themeFill="text1"/>
            <w:vAlign w:val="bottom"/>
          </w:tcPr>
          <w:p w:rsidR="003732D7" w:rsidRPr="00D15774" w:rsidRDefault="003732D7" w:rsidP="0050104C">
            <w:pPr>
              <w:jc w:val="center"/>
              <w:rPr>
                <w:b/>
                <w:color w:val="0000FF"/>
                <w:sz w:val="20"/>
              </w:rPr>
            </w:pPr>
          </w:p>
        </w:tc>
        <w:tc>
          <w:tcPr>
            <w:tcW w:w="385" w:type="pct"/>
            <w:tcBorders>
              <w:bottom w:val="double" w:sz="4" w:space="0" w:color="auto"/>
            </w:tcBorders>
            <w:shd w:val="clear" w:color="auto" w:fill="000000" w:themeFill="text1"/>
            <w:vAlign w:val="bottom"/>
          </w:tcPr>
          <w:p w:rsidR="003732D7" w:rsidRPr="00D15774" w:rsidRDefault="003732D7" w:rsidP="0050104C">
            <w:pPr>
              <w:jc w:val="center"/>
              <w:rPr>
                <w:b/>
                <w:color w:val="0000FF"/>
                <w:sz w:val="20"/>
              </w:rPr>
            </w:pPr>
          </w:p>
        </w:tc>
        <w:tc>
          <w:tcPr>
            <w:tcW w:w="456" w:type="pct"/>
            <w:tcBorders>
              <w:bottom w:val="double" w:sz="4" w:space="0" w:color="auto"/>
            </w:tcBorders>
            <w:shd w:val="clear" w:color="auto" w:fill="000000" w:themeFill="text1"/>
            <w:vAlign w:val="bottom"/>
          </w:tcPr>
          <w:p w:rsidR="003732D7" w:rsidRPr="00D15774" w:rsidRDefault="003732D7" w:rsidP="0050104C">
            <w:pPr>
              <w:jc w:val="center"/>
              <w:rPr>
                <w:b/>
                <w:color w:val="0000FF"/>
                <w:sz w:val="20"/>
              </w:rPr>
            </w:pPr>
          </w:p>
        </w:tc>
        <w:tc>
          <w:tcPr>
            <w:tcW w:w="461" w:type="pct"/>
            <w:tcBorders>
              <w:bottom w:val="double" w:sz="4" w:space="0" w:color="auto"/>
            </w:tcBorders>
            <w:shd w:val="clear" w:color="auto" w:fill="000000" w:themeFill="text1"/>
            <w:vAlign w:val="bottom"/>
          </w:tcPr>
          <w:p w:rsidR="003732D7" w:rsidRPr="00D15774" w:rsidRDefault="003732D7" w:rsidP="0050104C">
            <w:pPr>
              <w:jc w:val="center"/>
              <w:rPr>
                <w:b/>
                <w:color w:val="0000FF"/>
                <w:sz w:val="20"/>
              </w:rPr>
            </w:pPr>
          </w:p>
        </w:tc>
      </w:tr>
      <w:tr w:rsidR="00A251C1" w:rsidRPr="00D15774" w:rsidTr="00A00DFF">
        <w:trPr>
          <w:trHeight w:val="288"/>
        </w:trPr>
        <w:tc>
          <w:tcPr>
            <w:tcW w:w="746" w:type="pct"/>
            <w:shd w:val="clear" w:color="auto" w:fill="auto"/>
            <w:noWrap/>
            <w:vAlign w:val="bottom"/>
          </w:tcPr>
          <w:p w:rsidR="003732D7" w:rsidRPr="00D15774" w:rsidRDefault="003732D7" w:rsidP="0050104C">
            <w:pPr>
              <w:rPr>
                <w:b/>
                <w:color w:val="0000FF"/>
                <w:sz w:val="16"/>
                <w:szCs w:val="16"/>
              </w:rPr>
            </w:pPr>
            <w:r w:rsidRPr="00D15774">
              <w:rPr>
                <w:sz w:val="20"/>
              </w:rPr>
              <w:t>Total (Tribal)</w:t>
            </w:r>
          </w:p>
        </w:tc>
        <w:tc>
          <w:tcPr>
            <w:tcW w:w="453" w:type="pct"/>
            <w:shd w:val="clear" w:color="auto" w:fill="auto"/>
            <w:noWrap/>
            <w:vAlign w:val="bottom"/>
          </w:tcPr>
          <w:p w:rsidR="003732D7" w:rsidRPr="00D15774" w:rsidRDefault="003732D7" w:rsidP="0050104C">
            <w:pPr>
              <w:jc w:val="right"/>
              <w:rPr>
                <w:b/>
                <w:sz w:val="16"/>
                <w:szCs w:val="16"/>
              </w:rPr>
            </w:pPr>
            <w:r w:rsidRPr="00D15774">
              <w:rPr>
                <w:b/>
                <w:sz w:val="16"/>
                <w:szCs w:val="16"/>
              </w:rPr>
              <w:t>886</w:t>
            </w:r>
          </w:p>
        </w:tc>
        <w:tc>
          <w:tcPr>
            <w:tcW w:w="422" w:type="pct"/>
            <w:shd w:val="clear" w:color="auto" w:fill="auto"/>
            <w:noWrap/>
            <w:vAlign w:val="bottom"/>
          </w:tcPr>
          <w:p w:rsidR="003732D7" w:rsidRPr="00D15774" w:rsidRDefault="003732D7" w:rsidP="0050104C">
            <w:pPr>
              <w:jc w:val="right"/>
              <w:rPr>
                <w:b/>
                <w:sz w:val="16"/>
                <w:szCs w:val="16"/>
              </w:rPr>
            </w:pPr>
            <w:r w:rsidRPr="00D15774">
              <w:rPr>
                <w:b/>
                <w:sz w:val="16"/>
                <w:szCs w:val="16"/>
              </w:rPr>
              <w:t>944</w:t>
            </w:r>
          </w:p>
        </w:tc>
        <w:tc>
          <w:tcPr>
            <w:tcW w:w="540" w:type="pct"/>
            <w:shd w:val="clear" w:color="auto" w:fill="auto"/>
            <w:noWrap/>
            <w:vAlign w:val="bottom"/>
          </w:tcPr>
          <w:p w:rsidR="003732D7" w:rsidRPr="00D15774" w:rsidRDefault="003732D7" w:rsidP="0050104C">
            <w:pPr>
              <w:jc w:val="right"/>
              <w:rPr>
                <w:b/>
                <w:sz w:val="16"/>
                <w:szCs w:val="16"/>
              </w:rPr>
            </w:pPr>
            <w:r w:rsidRPr="00D15774">
              <w:rPr>
                <w:b/>
                <w:sz w:val="16"/>
                <w:szCs w:val="16"/>
              </w:rPr>
              <w:t>60</w:t>
            </w:r>
          </w:p>
        </w:tc>
        <w:tc>
          <w:tcPr>
            <w:tcW w:w="385" w:type="pct"/>
            <w:shd w:val="clear" w:color="auto" w:fill="auto"/>
            <w:noWrap/>
            <w:vAlign w:val="bottom"/>
          </w:tcPr>
          <w:p w:rsidR="003732D7" w:rsidRPr="00D15774" w:rsidRDefault="003732D7" w:rsidP="0050104C">
            <w:pPr>
              <w:jc w:val="right"/>
              <w:rPr>
                <w:b/>
                <w:sz w:val="16"/>
                <w:szCs w:val="16"/>
              </w:rPr>
            </w:pPr>
            <w:r w:rsidRPr="00D15774">
              <w:rPr>
                <w:b/>
                <w:sz w:val="16"/>
                <w:szCs w:val="16"/>
              </w:rPr>
              <w:t>275</w:t>
            </w:r>
          </w:p>
        </w:tc>
        <w:tc>
          <w:tcPr>
            <w:tcW w:w="462" w:type="pct"/>
            <w:shd w:val="clear" w:color="auto" w:fill="auto"/>
            <w:noWrap/>
            <w:vAlign w:val="bottom"/>
          </w:tcPr>
          <w:p w:rsidR="003732D7" w:rsidRPr="00D15774" w:rsidRDefault="003732D7" w:rsidP="0050104C">
            <w:pPr>
              <w:jc w:val="right"/>
              <w:rPr>
                <w:b/>
                <w:sz w:val="16"/>
                <w:szCs w:val="16"/>
              </w:rPr>
            </w:pPr>
            <w:r w:rsidRPr="00D15774">
              <w:rPr>
                <w:b/>
                <w:sz w:val="16"/>
                <w:szCs w:val="16"/>
              </w:rPr>
              <w:t>0</w:t>
            </w:r>
          </w:p>
        </w:tc>
        <w:tc>
          <w:tcPr>
            <w:tcW w:w="347" w:type="pct"/>
            <w:vAlign w:val="bottom"/>
          </w:tcPr>
          <w:p w:rsidR="003732D7" w:rsidRPr="00D15774" w:rsidRDefault="003732D7" w:rsidP="0050104C">
            <w:pPr>
              <w:jc w:val="right"/>
              <w:rPr>
                <w:b/>
                <w:sz w:val="16"/>
                <w:szCs w:val="16"/>
              </w:rPr>
            </w:pPr>
            <w:r w:rsidRPr="00D15774">
              <w:rPr>
                <w:b/>
                <w:sz w:val="16"/>
                <w:szCs w:val="16"/>
              </w:rPr>
              <w:t>19,219</w:t>
            </w:r>
          </w:p>
        </w:tc>
        <w:tc>
          <w:tcPr>
            <w:tcW w:w="344" w:type="pct"/>
            <w:vAlign w:val="bottom"/>
          </w:tcPr>
          <w:p w:rsidR="003732D7" w:rsidRPr="00D15774" w:rsidRDefault="003732D7" w:rsidP="0050104C">
            <w:pPr>
              <w:jc w:val="right"/>
              <w:rPr>
                <w:b/>
                <w:sz w:val="16"/>
                <w:szCs w:val="16"/>
              </w:rPr>
            </w:pPr>
            <w:r w:rsidRPr="00D15774">
              <w:rPr>
                <w:b/>
                <w:sz w:val="16"/>
                <w:szCs w:val="16"/>
              </w:rPr>
              <w:t>493</w:t>
            </w:r>
          </w:p>
        </w:tc>
        <w:tc>
          <w:tcPr>
            <w:tcW w:w="385" w:type="pct"/>
            <w:vAlign w:val="bottom"/>
          </w:tcPr>
          <w:p w:rsidR="003732D7" w:rsidRPr="00D15774" w:rsidRDefault="003732D7" w:rsidP="0050104C">
            <w:pPr>
              <w:jc w:val="right"/>
              <w:rPr>
                <w:b/>
                <w:sz w:val="16"/>
                <w:szCs w:val="16"/>
              </w:rPr>
            </w:pPr>
            <w:r w:rsidRPr="00D15774">
              <w:rPr>
                <w:b/>
                <w:sz w:val="16"/>
                <w:szCs w:val="16"/>
              </w:rPr>
              <w:t>2,285</w:t>
            </w:r>
          </w:p>
        </w:tc>
        <w:tc>
          <w:tcPr>
            <w:tcW w:w="456" w:type="pct"/>
            <w:vAlign w:val="bottom"/>
          </w:tcPr>
          <w:p w:rsidR="003732D7" w:rsidRPr="00D15774" w:rsidRDefault="003732D7" w:rsidP="0050104C">
            <w:pPr>
              <w:jc w:val="right"/>
              <w:rPr>
                <w:b/>
                <w:sz w:val="16"/>
                <w:szCs w:val="16"/>
              </w:rPr>
            </w:pPr>
            <w:r w:rsidRPr="00D15774">
              <w:rPr>
                <w:b/>
                <w:sz w:val="16"/>
                <w:szCs w:val="16"/>
              </w:rPr>
              <w:t>640</w:t>
            </w:r>
          </w:p>
        </w:tc>
        <w:tc>
          <w:tcPr>
            <w:tcW w:w="461" w:type="pct"/>
            <w:tcBorders>
              <w:top w:val="double" w:sz="4" w:space="0" w:color="auto"/>
            </w:tcBorders>
            <w:vAlign w:val="bottom"/>
          </w:tcPr>
          <w:p w:rsidR="003732D7" w:rsidRPr="00D15774" w:rsidRDefault="003732D7" w:rsidP="0050104C">
            <w:pPr>
              <w:jc w:val="right"/>
              <w:rPr>
                <w:b/>
                <w:sz w:val="16"/>
                <w:szCs w:val="16"/>
              </w:rPr>
            </w:pPr>
            <w:r w:rsidRPr="00D15774">
              <w:rPr>
                <w:b/>
                <w:sz w:val="16"/>
                <w:szCs w:val="16"/>
              </w:rPr>
              <w:t>24,802</w:t>
            </w:r>
          </w:p>
        </w:tc>
      </w:tr>
      <w:tr w:rsidR="00A251C1" w:rsidRPr="00D15774" w:rsidTr="00A00DFF">
        <w:trPr>
          <w:trHeight w:val="288"/>
        </w:trPr>
        <w:tc>
          <w:tcPr>
            <w:tcW w:w="746" w:type="pct"/>
            <w:shd w:val="clear" w:color="auto" w:fill="auto"/>
            <w:noWrap/>
            <w:vAlign w:val="bottom"/>
          </w:tcPr>
          <w:p w:rsidR="003732D7" w:rsidRPr="00D15774" w:rsidRDefault="003732D7" w:rsidP="0050104C">
            <w:pPr>
              <w:rPr>
                <w:sz w:val="16"/>
                <w:szCs w:val="16"/>
              </w:rPr>
            </w:pPr>
            <w:r w:rsidRPr="00D15774">
              <w:rPr>
                <w:sz w:val="20"/>
              </w:rPr>
              <w:t>Total (Non-Tribal</w:t>
            </w:r>
          </w:p>
        </w:tc>
        <w:tc>
          <w:tcPr>
            <w:tcW w:w="453" w:type="pct"/>
            <w:shd w:val="clear" w:color="auto" w:fill="auto"/>
            <w:noWrap/>
            <w:vAlign w:val="bottom"/>
          </w:tcPr>
          <w:p w:rsidR="003732D7" w:rsidRPr="00D15774" w:rsidRDefault="003732D7" w:rsidP="0050104C">
            <w:pPr>
              <w:jc w:val="right"/>
              <w:rPr>
                <w:sz w:val="16"/>
                <w:szCs w:val="16"/>
              </w:rPr>
            </w:pPr>
            <w:r w:rsidRPr="00D15774">
              <w:rPr>
                <w:sz w:val="16"/>
                <w:szCs w:val="16"/>
              </w:rPr>
              <w:t>24,351</w:t>
            </w:r>
          </w:p>
        </w:tc>
        <w:tc>
          <w:tcPr>
            <w:tcW w:w="422" w:type="pct"/>
            <w:shd w:val="clear" w:color="auto" w:fill="auto"/>
            <w:noWrap/>
            <w:vAlign w:val="bottom"/>
          </w:tcPr>
          <w:p w:rsidR="003732D7" w:rsidRPr="00D15774" w:rsidRDefault="003732D7" w:rsidP="0050104C">
            <w:pPr>
              <w:jc w:val="right"/>
              <w:rPr>
                <w:sz w:val="16"/>
                <w:szCs w:val="16"/>
              </w:rPr>
            </w:pPr>
            <w:r w:rsidRPr="00D15774">
              <w:rPr>
                <w:sz w:val="16"/>
                <w:szCs w:val="16"/>
              </w:rPr>
              <w:t>25,917</w:t>
            </w:r>
          </w:p>
        </w:tc>
        <w:tc>
          <w:tcPr>
            <w:tcW w:w="540" w:type="pct"/>
            <w:shd w:val="clear" w:color="auto" w:fill="auto"/>
            <w:noWrap/>
            <w:vAlign w:val="bottom"/>
          </w:tcPr>
          <w:p w:rsidR="003732D7" w:rsidRPr="00D15774" w:rsidRDefault="003732D7" w:rsidP="0050104C">
            <w:pPr>
              <w:jc w:val="right"/>
              <w:rPr>
                <w:sz w:val="16"/>
                <w:szCs w:val="16"/>
              </w:rPr>
            </w:pPr>
            <w:r w:rsidRPr="00D15774">
              <w:rPr>
                <w:sz w:val="16"/>
                <w:szCs w:val="16"/>
              </w:rPr>
              <w:t>1,640</w:t>
            </w:r>
          </w:p>
        </w:tc>
        <w:tc>
          <w:tcPr>
            <w:tcW w:w="385" w:type="pct"/>
            <w:shd w:val="clear" w:color="auto" w:fill="auto"/>
            <w:noWrap/>
            <w:vAlign w:val="bottom"/>
          </w:tcPr>
          <w:p w:rsidR="003732D7" w:rsidRPr="00D15774" w:rsidRDefault="003732D7" w:rsidP="0050104C">
            <w:pPr>
              <w:jc w:val="right"/>
              <w:rPr>
                <w:sz w:val="16"/>
                <w:szCs w:val="16"/>
              </w:rPr>
            </w:pPr>
            <w:r w:rsidRPr="00D15774">
              <w:rPr>
                <w:sz w:val="16"/>
                <w:szCs w:val="16"/>
              </w:rPr>
              <w:t>7,561</w:t>
            </w:r>
          </w:p>
        </w:tc>
        <w:tc>
          <w:tcPr>
            <w:tcW w:w="462" w:type="pct"/>
            <w:shd w:val="clear" w:color="auto" w:fill="auto"/>
            <w:noWrap/>
            <w:vAlign w:val="bottom"/>
          </w:tcPr>
          <w:p w:rsidR="003732D7" w:rsidRPr="00D15774" w:rsidRDefault="003732D7" w:rsidP="0050104C">
            <w:pPr>
              <w:jc w:val="right"/>
              <w:rPr>
                <w:sz w:val="16"/>
                <w:szCs w:val="16"/>
              </w:rPr>
            </w:pPr>
            <w:r w:rsidRPr="00D15774">
              <w:rPr>
                <w:sz w:val="16"/>
                <w:szCs w:val="16"/>
              </w:rPr>
              <w:t>26,692</w:t>
            </w:r>
          </w:p>
        </w:tc>
        <w:tc>
          <w:tcPr>
            <w:tcW w:w="347" w:type="pct"/>
            <w:vAlign w:val="bottom"/>
          </w:tcPr>
          <w:p w:rsidR="003732D7" w:rsidRPr="00D15774" w:rsidRDefault="003732D7" w:rsidP="0050104C">
            <w:pPr>
              <w:jc w:val="right"/>
              <w:rPr>
                <w:sz w:val="16"/>
                <w:szCs w:val="16"/>
              </w:rPr>
            </w:pPr>
            <w:r w:rsidRPr="00D15774">
              <w:rPr>
                <w:sz w:val="16"/>
                <w:szCs w:val="16"/>
              </w:rPr>
              <w:t>207,816</w:t>
            </w:r>
          </w:p>
        </w:tc>
        <w:tc>
          <w:tcPr>
            <w:tcW w:w="344" w:type="pct"/>
            <w:vAlign w:val="bottom"/>
          </w:tcPr>
          <w:p w:rsidR="003732D7" w:rsidRPr="00D15774" w:rsidRDefault="003732D7" w:rsidP="0050104C">
            <w:pPr>
              <w:jc w:val="right"/>
              <w:rPr>
                <w:sz w:val="16"/>
                <w:szCs w:val="16"/>
              </w:rPr>
            </w:pPr>
            <w:r w:rsidRPr="00D15774">
              <w:rPr>
                <w:sz w:val="16"/>
                <w:szCs w:val="16"/>
              </w:rPr>
              <w:t>6,899</w:t>
            </w:r>
          </w:p>
        </w:tc>
        <w:tc>
          <w:tcPr>
            <w:tcW w:w="385" w:type="pct"/>
            <w:vAlign w:val="bottom"/>
          </w:tcPr>
          <w:p w:rsidR="003732D7" w:rsidRPr="00D15774" w:rsidRDefault="003732D7" w:rsidP="0050104C">
            <w:pPr>
              <w:jc w:val="right"/>
              <w:rPr>
                <w:sz w:val="16"/>
                <w:szCs w:val="16"/>
              </w:rPr>
            </w:pPr>
            <w:r w:rsidRPr="00D15774">
              <w:rPr>
                <w:sz w:val="16"/>
                <w:szCs w:val="16"/>
              </w:rPr>
              <w:t>24,899</w:t>
            </w:r>
          </w:p>
        </w:tc>
        <w:tc>
          <w:tcPr>
            <w:tcW w:w="456" w:type="pct"/>
            <w:vAlign w:val="bottom"/>
          </w:tcPr>
          <w:p w:rsidR="003732D7" w:rsidRPr="00D15774" w:rsidRDefault="003732D7" w:rsidP="0050104C">
            <w:pPr>
              <w:jc w:val="right"/>
              <w:rPr>
                <w:sz w:val="16"/>
                <w:szCs w:val="16"/>
              </w:rPr>
            </w:pPr>
            <w:r w:rsidRPr="00D15774">
              <w:rPr>
                <w:sz w:val="16"/>
                <w:szCs w:val="16"/>
              </w:rPr>
              <w:t>7,221</w:t>
            </w:r>
          </w:p>
        </w:tc>
        <w:tc>
          <w:tcPr>
            <w:tcW w:w="461" w:type="pct"/>
            <w:vAlign w:val="bottom"/>
          </w:tcPr>
          <w:p w:rsidR="003732D7" w:rsidRPr="00D15774" w:rsidRDefault="003732D7" w:rsidP="0050104C">
            <w:pPr>
              <w:jc w:val="right"/>
              <w:rPr>
                <w:sz w:val="16"/>
                <w:szCs w:val="16"/>
              </w:rPr>
            </w:pPr>
            <w:r w:rsidRPr="00D15774">
              <w:rPr>
                <w:sz w:val="16"/>
                <w:szCs w:val="16"/>
              </w:rPr>
              <w:t>332,996</w:t>
            </w:r>
          </w:p>
        </w:tc>
      </w:tr>
    </w:tbl>
    <w:p w:rsidR="00403DA7" w:rsidRPr="00D15774" w:rsidRDefault="00403DA7" w:rsidP="008F5E0D">
      <w:pPr>
        <w:keepNext/>
        <w:keepLines/>
        <w:widowControl w:val="0"/>
        <w:tabs>
          <w:tab w:val="center" w:pos="4680"/>
        </w:tabs>
        <w:spacing w:line="300" w:lineRule="auto"/>
      </w:pPr>
    </w:p>
    <w:p w:rsidR="008F5E0D" w:rsidRPr="00D15774" w:rsidRDefault="008F5E0D" w:rsidP="00A251C1">
      <w:pPr>
        <w:keepNext/>
        <w:keepLines/>
        <w:widowControl w:val="0"/>
        <w:tabs>
          <w:tab w:val="center" w:pos="4680"/>
        </w:tabs>
        <w:spacing w:line="300" w:lineRule="auto"/>
      </w:pPr>
      <w:r w:rsidRPr="00D15774">
        <w:t xml:space="preserve">In the </w:t>
      </w:r>
      <w:r w:rsidR="00A251C1" w:rsidRPr="00D15774">
        <w:t xml:space="preserve">Williston </w:t>
      </w:r>
      <w:r w:rsidRPr="00D15774">
        <w:t>Basin pneumatic devices comprise more than half (53%) of the VOC emissions, followed by 17% from venting blowdowns, 11% from glycol dehydrators and 10% from</w:t>
      </w:r>
      <w:r w:rsidR="00BB499D" w:rsidRPr="00D15774">
        <w:t xml:space="preserve"> storage tanks</w:t>
      </w:r>
      <w:r w:rsidRPr="00D15774">
        <w:t xml:space="preserve"> </w:t>
      </w:r>
      <w:r w:rsidR="00BB499D" w:rsidRPr="00D15774">
        <w:t>[</w:t>
      </w:r>
      <w:r w:rsidRPr="00D15774">
        <w:t>condensate</w:t>
      </w:r>
      <w:r w:rsidR="00BB499D" w:rsidRPr="00D15774">
        <w:t>-6% &amp;</w:t>
      </w:r>
      <w:r w:rsidRPr="00D15774">
        <w:t xml:space="preserve"> oil</w:t>
      </w:r>
      <w:r w:rsidR="00BB499D" w:rsidRPr="00D15774">
        <w:t>-</w:t>
      </w:r>
      <w:r w:rsidRPr="00D15774">
        <w:t>4%</w:t>
      </w:r>
      <w:r w:rsidR="00BB499D" w:rsidRPr="00D15774">
        <w:t>]</w:t>
      </w:r>
      <w:r w:rsidRPr="00D15774">
        <w:t>.</w:t>
      </w:r>
    </w:p>
    <w:p w:rsidR="008F5E0D" w:rsidRPr="00D15774" w:rsidRDefault="008F5E0D" w:rsidP="008F5E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C37648" w:rsidRPr="00D15774" w:rsidRDefault="008F5E0D" w:rsidP="00C376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Regarding pneumatic devices, the new regulations of NSPS Subpart OOOO address VOC emissions by allowing no VOC emissions from devices located at gas processing plants, while devices at other sites would be required to use low bleed devices limited to emissions of 6 ft</w:t>
      </w:r>
      <w:r w:rsidRPr="00D15774">
        <w:rPr>
          <w:vertAlign w:val="superscript"/>
        </w:rPr>
        <w:t>3</w:t>
      </w:r>
      <w:r w:rsidRPr="00D15774">
        <w:t xml:space="preserve">/day.  The </w:t>
      </w:r>
      <w:r w:rsidR="00C37648" w:rsidRPr="00D15774">
        <w:t>State of North Dakota has no regulations on pneumatic devices, so Subpart OOOO would likely reduce VOC emissions in future Williston Basin inventories from this source category.</w:t>
      </w:r>
    </w:p>
    <w:p w:rsidR="008F5E0D" w:rsidRPr="00D15774" w:rsidRDefault="008F5E0D" w:rsidP="00B72B6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line="300" w:lineRule="auto"/>
      </w:pPr>
      <w:r w:rsidRPr="00D15774">
        <w:t>Regarding well completions (venting blowdowns in the Phase III inventory) under Subpart OOOO any new or existing non-exploratory or non-delineation wells (wells that are in close proximity to a gathering line) that have undergone high pressure hydraulic fracturing (fracing), the regulation will require “Green Completions” for these wells, in combination with pit flaring for gas unsuitable to enter a sales pipeline</w:t>
      </w:r>
      <w:r w:rsidR="00C37648" w:rsidRPr="00D15774">
        <w:t>.  The State of North Dakota has no regulations on Green Completions, so Subpart OOOO would likely reduce VOC emissions in future inventories from this source category in the Williston Basin.</w:t>
      </w:r>
    </w:p>
    <w:p w:rsidR="008F5E0D" w:rsidRPr="00D15774" w:rsidRDefault="008F5E0D" w:rsidP="008F5E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8F5E0D" w:rsidRPr="00D15774" w:rsidRDefault="008F5E0D" w:rsidP="009E06AF">
      <w:pPr>
        <w:spacing w:line="276" w:lineRule="auto"/>
      </w:pPr>
      <w:r w:rsidRPr="00D15774">
        <w:rPr>
          <w:szCs w:val="24"/>
        </w:rPr>
        <w:t>Regarding glycol dehydrators, EPA previously proposed to remove the 1 ton per year benzene compliance option for large glycol dehydrators, but with the revised risk analysis, the final rule retained this 1 TPY option for large dehydrators.  If annual benzene emissions don’t meet the 1 TPY threshold, under Subpart OOOO the large dehydrators would have to reduce air toxics their emissions by 95 percent</w:t>
      </w:r>
      <w:r w:rsidR="004D788B" w:rsidRPr="00D15774">
        <w:rPr>
          <w:szCs w:val="24"/>
        </w:rPr>
        <w:t xml:space="preserve">.  The </w:t>
      </w:r>
      <w:r w:rsidR="004D788B" w:rsidRPr="00D15774">
        <w:rPr>
          <w:b/>
          <w:bCs/>
          <w:szCs w:val="24"/>
          <w:u w:val="single"/>
        </w:rPr>
        <w:t>Bakken Pool O&amp;G Production Facilities Air Pollution Control Permitting &amp; Compliance Guidance</w:t>
      </w:r>
      <w:r w:rsidR="004430EA" w:rsidRPr="00D15774">
        <w:t xml:space="preserve"> requires that </w:t>
      </w:r>
      <w:r w:rsidR="009E06AF" w:rsidRPr="00D15774">
        <w:t>dehydrators</w:t>
      </w:r>
      <w:r w:rsidR="004430EA" w:rsidRPr="00D15774">
        <w:t xml:space="preserve"> constructed after </w:t>
      </w:r>
      <w:r w:rsidR="004430EA" w:rsidRPr="00D15774">
        <w:rPr>
          <w:color w:val="000000"/>
          <w:szCs w:val="24"/>
        </w:rPr>
        <w:t xml:space="preserve">June 1, 2011 must control total VOC by at least 90%.  </w:t>
      </w:r>
      <w:r w:rsidRPr="00D15774">
        <w:t xml:space="preserve">Thus the effect of Subpart OOOO on glycol dehydrator VOC emissions </w:t>
      </w:r>
      <w:r w:rsidR="00BB499D" w:rsidRPr="00D15774">
        <w:t xml:space="preserve">in future emission inventories </w:t>
      </w:r>
      <w:r w:rsidRPr="00D15774">
        <w:t xml:space="preserve">will be minimized in the non tribal portion of the </w:t>
      </w:r>
      <w:r w:rsidR="004430EA" w:rsidRPr="00D15774">
        <w:t>Williston</w:t>
      </w:r>
      <w:r w:rsidRPr="00D15774">
        <w:t xml:space="preserve"> Basin by existing </w:t>
      </w:r>
      <w:r w:rsidR="004430EA" w:rsidRPr="00D15774">
        <w:t>North Dakota</w:t>
      </w:r>
      <w:r w:rsidRPr="00D15774">
        <w:t xml:space="preserve"> regulations.</w:t>
      </w:r>
    </w:p>
    <w:p w:rsidR="009E06AF" w:rsidRPr="00D15774" w:rsidRDefault="009E06AF" w:rsidP="009E06AF">
      <w:pPr>
        <w:spacing w:line="276" w:lineRule="auto"/>
      </w:pPr>
    </w:p>
    <w:p w:rsidR="008F5E0D" w:rsidRPr="00D15774" w:rsidRDefault="008F5E0D" w:rsidP="008F5E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Also applicable to this basin, the </w:t>
      </w:r>
      <w:r w:rsidRPr="00D15774">
        <w:rPr>
          <w:rStyle w:val="FigureChar"/>
          <w:rFonts w:ascii="Times New Roman" w:hAnsi="Times New Roman"/>
          <w:b w:val="0"/>
          <w:sz w:val="24"/>
        </w:rPr>
        <w:t xml:space="preserve">Subpart OOOO regulation requires condensate tanks </w:t>
      </w:r>
      <w:r w:rsidRPr="00D15774">
        <w:t>constructed or modified after August 23, 2011, with 6 tpy of VOC of uncontrolled emissions</w:t>
      </w:r>
      <w:r w:rsidRPr="00D15774">
        <w:rPr>
          <w:rStyle w:val="FigureChar"/>
          <w:rFonts w:ascii="Times New Roman" w:hAnsi="Times New Roman"/>
          <w:b w:val="0"/>
          <w:sz w:val="24"/>
        </w:rPr>
        <w:t xml:space="preserve"> to reduce VOC by 95%. </w:t>
      </w:r>
      <w:r w:rsidRPr="00D15774">
        <w:t xml:space="preserve"> </w:t>
      </w:r>
      <w:r w:rsidR="009E06AF" w:rsidRPr="00D15774">
        <w:rPr>
          <w:szCs w:val="24"/>
        </w:rPr>
        <w:t xml:space="preserve">The </w:t>
      </w:r>
      <w:r w:rsidR="009E06AF" w:rsidRPr="00D15774">
        <w:rPr>
          <w:b/>
          <w:bCs/>
          <w:szCs w:val="24"/>
          <w:u w:val="single"/>
        </w:rPr>
        <w:lastRenderedPageBreak/>
        <w:t>Bakken Pool O&amp;G Production Facilities Air Pollution Control Permitting &amp; Compliance Guidance</w:t>
      </w:r>
      <w:r w:rsidR="009E06AF" w:rsidRPr="00D15774">
        <w:t xml:space="preserve"> requires that tanks constructed after </w:t>
      </w:r>
      <w:r w:rsidR="009E06AF" w:rsidRPr="00D15774">
        <w:rPr>
          <w:color w:val="000000"/>
          <w:szCs w:val="24"/>
        </w:rPr>
        <w:t xml:space="preserve">June 1, 2011 must control total VOC by at least 90% (the control efficiency requirement is raised to 98% if the VOC Potential to Emit (PTE) is equal to or greater than 20 TPY from a tank).  </w:t>
      </w:r>
      <w:r w:rsidR="009E06AF" w:rsidRPr="00D15774">
        <w:t xml:space="preserve">Thus the effect of Subpart OOOO on glycol dehydrator VOC emissions </w:t>
      </w:r>
      <w:r w:rsidR="00BB499D" w:rsidRPr="00D15774">
        <w:t xml:space="preserve">in future emission inventories </w:t>
      </w:r>
      <w:r w:rsidR="009E06AF" w:rsidRPr="00D15774">
        <w:t>will be minimized in the non tribal portion of the Williston Basin by existing North Dakota regulations.</w:t>
      </w:r>
    </w:p>
    <w:p w:rsidR="008F5E0D" w:rsidRPr="00D15774" w:rsidRDefault="008F5E0D" w:rsidP="008F5E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A20D41" w:rsidRDefault="008F5E0D" w:rsidP="006752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r w:rsidRPr="00D15774">
        <w:t xml:space="preserve">Regarding the federal rules for “Permitting of Minor Sources on Indian Lands”, the </w:t>
      </w:r>
      <w:r w:rsidR="00A251C1" w:rsidRPr="00D15774">
        <w:t xml:space="preserve">Williston </w:t>
      </w:r>
      <w:r w:rsidRPr="00D15774">
        <w:t xml:space="preserve">Basin Indian Lands comprise a minority of VOC sources.  Although newly constructed sources like field compressors, artificial lift engines and heaters will have lower emissions than previously projected due to federal permitting review, there will also likely be a number of existing sources that were never reported in the past.  These newly captured sources will now be included in emission inventories due to federal reporting requirements.  Thus we may actually see some increased VOC emissions show up </w:t>
      </w:r>
      <w:r w:rsidR="00675273" w:rsidRPr="00D15774">
        <w:t>in future emission inventories for</w:t>
      </w:r>
      <w:r w:rsidRPr="00D15774">
        <w:t xml:space="preserve"> Tr</w:t>
      </w:r>
      <w:r w:rsidR="00675273" w:rsidRPr="00D15774">
        <w:t>ibal Lands o</w:t>
      </w:r>
      <w:r w:rsidRPr="00D15774">
        <w:t xml:space="preserve">n the </w:t>
      </w:r>
      <w:r w:rsidR="00A251C1" w:rsidRPr="00D15774">
        <w:t xml:space="preserve">Williston </w:t>
      </w:r>
      <w:r w:rsidRPr="00D15774">
        <w:t>Basin due</w:t>
      </w:r>
      <w:r w:rsidR="00675273" w:rsidRPr="00D15774">
        <w:t xml:space="preserve"> to this permitting regulation.</w:t>
      </w:r>
    </w:p>
    <w:p w:rsidR="00FF26E9" w:rsidRPr="00E47241" w:rsidRDefault="00FF26E9" w:rsidP="00C219AF">
      <w:pPr>
        <w:pStyle w:val="Heading1"/>
        <w:rPr>
          <w:b/>
          <w:color w:val="auto"/>
          <w:sz w:val="28"/>
          <w:szCs w:val="28"/>
        </w:rPr>
      </w:pPr>
      <w:bookmarkStart w:id="135" w:name="_Toc369087049"/>
      <w:r w:rsidRPr="00E47241">
        <w:rPr>
          <w:b/>
          <w:color w:val="auto"/>
          <w:sz w:val="28"/>
          <w:szCs w:val="28"/>
        </w:rPr>
        <w:t>6.  BLM SPONSORED MONTANA GREAT PLAINS &amp; WILLISTON BASIN EI</w:t>
      </w:r>
      <w:bookmarkEnd w:id="135"/>
      <w:r w:rsidRPr="00E47241">
        <w:rPr>
          <w:b/>
          <w:color w:val="auto"/>
          <w:sz w:val="28"/>
          <w:szCs w:val="28"/>
        </w:rPr>
        <w:fldChar w:fldCharType="begin"/>
      </w:r>
      <w:r w:rsidRPr="00E47241">
        <w:rPr>
          <w:b/>
          <w:color w:val="auto"/>
          <w:sz w:val="28"/>
          <w:szCs w:val="28"/>
        </w:rPr>
        <w:instrText xml:space="preserve"> TC \l1 "3.  </w:instrText>
      </w:r>
      <w:r w:rsidR="007F272E" w:rsidRPr="00E47241">
        <w:rPr>
          <w:b/>
          <w:color w:val="auto"/>
          <w:sz w:val="28"/>
          <w:szCs w:val="28"/>
        </w:rPr>
        <w:instrText>BLM</w:instrText>
      </w:r>
      <w:r w:rsidRPr="00E47241">
        <w:rPr>
          <w:b/>
          <w:color w:val="auto"/>
          <w:sz w:val="28"/>
          <w:szCs w:val="28"/>
        </w:rPr>
        <w:instrText xml:space="preserve"> </w:instrText>
      </w:r>
      <w:r w:rsidR="007F272E" w:rsidRPr="00E47241">
        <w:rPr>
          <w:b/>
          <w:color w:val="auto"/>
          <w:sz w:val="28"/>
          <w:szCs w:val="28"/>
        </w:rPr>
        <w:instrText>SPONSORED</w:instrText>
      </w:r>
      <w:r w:rsidRPr="00E47241">
        <w:rPr>
          <w:b/>
          <w:color w:val="auto"/>
          <w:sz w:val="28"/>
          <w:szCs w:val="28"/>
        </w:rPr>
        <w:instrText xml:space="preserve"> </w:instrText>
      </w:r>
      <w:r w:rsidR="007F272E" w:rsidRPr="00E47241">
        <w:rPr>
          <w:b/>
          <w:color w:val="auto"/>
          <w:sz w:val="28"/>
          <w:szCs w:val="28"/>
        </w:rPr>
        <w:instrText>MONANA</w:instrText>
      </w:r>
      <w:r w:rsidRPr="00E47241">
        <w:rPr>
          <w:b/>
          <w:color w:val="auto"/>
          <w:sz w:val="28"/>
          <w:szCs w:val="28"/>
        </w:rPr>
        <w:instrText xml:space="preserve"> </w:instrText>
      </w:r>
      <w:r w:rsidR="007F272E" w:rsidRPr="00E47241">
        <w:rPr>
          <w:b/>
          <w:color w:val="auto"/>
          <w:sz w:val="28"/>
          <w:szCs w:val="28"/>
        </w:rPr>
        <w:instrText>GREAT</w:instrText>
      </w:r>
      <w:r w:rsidRPr="00E47241">
        <w:rPr>
          <w:b/>
          <w:color w:val="auto"/>
          <w:sz w:val="28"/>
          <w:szCs w:val="28"/>
        </w:rPr>
        <w:instrText xml:space="preserve"> </w:instrText>
      </w:r>
      <w:r w:rsidR="007F272E" w:rsidRPr="00E47241">
        <w:rPr>
          <w:b/>
          <w:color w:val="auto"/>
          <w:sz w:val="28"/>
          <w:szCs w:val="28"/>
        </w:rPr>
        <w:instrText>PLAINS</w:instrText>
      </w:r>
      <w:r w:rsidRPr="00E47241">
        <w:rPr>
          <w:b/>
          <w:color w:val="auto"/>
          <w:sz w:val="28"/>
          <w:szCs w:val="28"/>
        </w:rPr>
        <w:instrText xml:space="preserve"> </w:instrText>
      </w:r>
      <w:r w:rsidR="007F272E" w:rsidRPr="00E47241">
        <w:rPr>
          <w:b/>
          <w:color w:val="auto"/>
          <w:sz w:val="28"/>
          <w:szCs w:val="28"/>
        </w:rPr>
        <w:instrText>&amp;</w:instrText>
      </w:r>
      <w:r w:rsidRPr="00E47241">
        <w:rPr>
          <w:b/>
          <w:color w:val="auto"/>
          <w:sz w:val="28"/>
          <w:szCs w:val="28"/>
        </w:rPr>
        <w:instrText xml:space="preserve"> </w:instrText>
      </w:r>
      <w:r w:rsidR="007F272E" w:rsidRPr="00E47241">
        <w:rPr>
          <w:b/>
          <w:color w:val="auto"/>
          <w:sz w:val="28"/>
          <w:szCs w:val="28"/>
        </w:rPr>
        <w:instrText>WILLISTON</w:instrText>
      </w:r>
      <w:r w:rsidRPr="00E47241">
        <w:rPr>
          <w:b/>
          <w:color w:val="auto"/>
          <w:sz w:val="28"/>
          <w:szCs w:val="28"/>
        </w:rPr>
        <w:instrText xml:space="preserve"> </w:instrText>
      </w:r>
      <w:r w:rsidR="007F272E" w:rsidRPr="00E47241">
        <w:rPr>
          <w:b/>
          <w:color w:val="auto"/>
          <w:sz w:val="28"/>
          <w:szCs w:val="28"/>
        </w:rPr>
        <w:instrText>BASIN EI</w:instrText>
      </w:r>
      <w:r w:rsidRPr="00E47241">
        <w:rPr>
          <w:b/>
          <w:color w:val="auto"/>
          <w:sz w:val="28"/>
          <w:szCs w:val="28"/>
        </w:rPr>
        <w:fldChar w:fldCharType="end"/>
      </w:r>
    </w:p>
    <w:p w:rsidR="00FF26E9" w:rsidRDefault="00FF26E9" w:rsidP="006752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pPr>
    </w:p>
    <w:p w:rsidR="00A70D77" w:rsidRDefault="009A2667" w:rsidP="006752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rPr>
          <w:color w:val="4E4E4E"/>
          <w:szCs w:val="24"/>
        </w:rPr>
      </w:pPr>
      <w:r w:rsidRPr="00E52BC3">
        <w:rPr>
          <w:color w:val="4E4E4E"/>
          <w:szCs w:val="24"/>
        </w:rPr>
        <w:t xml:space="preserve">The Bureau of Land Management (BLM) Montana-Dakotas Office is sponsoring development of an oil and gas (O&amp;G) emissions inventory for the Williston Basin in North Dakota, South Dakota, and Montana, and the Montana North Central (Great Plains) Basin. </w:t>
      </w:r>
      <w:r w:rsidR="00A70D77">
        <w:rPr>
          <w:color w:val="4E4E4E"/>
          <w:szCs w:val="24"/>
        </w:rPr>
        <w:t xml:space="preserve"> </w:t>
      </w:r>
      <w:r w:rsidRPr="00E52BC3">
        <w:rPr>
          <w:color w:val="4E4E4E"/>
          <w:szCs w:val="24"/>
        </w:rPr>
        <w:t xml:space="preserve">The WRAP, with expert contractor assistance, will build and report the inventory using </w:t>
      </w:r>
      <w:r w:rsidR="00E52BC3" w:rsidRPr="00E52BC3">
        <w:rPr>
          <w:color w:val="4E4E4E"/>
          <w:szCs w:val="24"/>
        </w:rPr>
        <w:t xml:space="preserve">the Phase III methodology </w:t>
      </w:r>
      <w:r w:rsidRPr="00E52BC3">
        <w:rPr>
          <w:color w:val="4E4E4E"/>
          <w:szCs w:val="24"/>
        </w:rPr>
        <w:t xml:space="preserve">employed in large active basins in the intermountain West. </w:t>
      </w:r>
      <w:r w:rsidR="00A70D77">
        <w:rPr>
          <w:color w:val="4E4E4E"/>
          <w:szCs w:val="24"/>
        </w:rPr>
        <w:t xml:space="preserve"> </w:t>
      </w:r>
      <w:r w:rsidRPr="00E52BC3">
        <w:rPr>
          <w:color w:val="4E4E4E"/>
          <w:szCs w:val="24"/>
        </w:rPr>
        <w:t xml:space="preserve">The result will be an accurate, comprehensive criteria pollutant inventory of actual emissions for most major point and area sources associated with exploration and production of O&amp;G in the MT North Central (Great Plains) and ND-SD-MT Williston Basins for year 2011, as well as a mid-term projection year. </w:t>
      </w:r>
      <w:r w:rsidR="00A70D77">
        <w:rPr>
          <w:color w:val="4E4E4E"/>
          <w:szCs w:val="24"/>
        </w:rPr>
        <w:t xml:space="preserve"> </w:t>
      </w:r>
      <w:r w:rsidRPr="00E52BC3">
        <w:rPr>
          <w:color w:val="4E4E4E"/>
          <w:szCs w:val="24"/>
        </w:rPr>
        <w:t xml:space="preserve">One benefit of the project is development of a more accurate regional O&amp;G emission inventory data based on input from knowledgeable sources. </w:t>
      </w:r>
      <w:r w:rsidR="00A70D77">
        <w:rPr>
          <w:color w:val="4E4E4E"/>
          <w:szCs w:val="24"/>
        </w:rPr>
        <w:t xml:space="preserve"> </w:t>
      </w:r>
      <w:r w:rsidRPr="00E52BC3">
        <w:rPr>
          <w:color w:val="4E4E4E"/>
          <w:szCs w:val="24"/>
        </w:rPr>
        <w:t>The project will also contribute to regional air quality modeling efforts and streamline future National Environmental Policy Act (NEPA) reviews by reducing the need for project-specific modeling.</w:t>
      </w:r>
    </w:p>
    <w:p w:rsidR="00A70D77" w:rsidRDefault="00A70D77" w:rsidP="006752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rPr>
          <w:color w:val="4E4E4E"/>
          <w:szCs w:val="24"/>
        </w:rPr>
      </w:pPr>
    </w:p>
    <w:p w:rsidR="00E47241" w:rsidRPr="00E52BC3" w:rsidRDefault="00E52BC3" w:rsidP="006752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rPr>
          <w:szCs w:val="24"/>
        </w:rPr>
      </w:pPr>
      <w:r>
        <w:rPr>
          <w:color w:val="4E4E4E"/>
          <w:szCs w:val="24"/>
        </w:rPr>
        <w:t>More details of the project</w:t>
      </w:r>
      <w:r w:rsidR="00A70D77">
        <w:rPr>
          <w:color w:val="4E4E4E"/>
          <w:szCs w:val="24"/>
        </w:rPr>
        <w:t>,</w:t>
      </w:r>
      <w:r>
        <w:rPr>
          <w:color w:val="4E4E4E"/>
          <w:szCs w:val="24"/>
        </w:rPr>
        <w:t xml:space="preserve"> </w:t>
      </w:r>
      <w:r w:rsidR="00A70D77">
        <w:rPr>
          <w:color w:val="4E4E4E"/>
          <w:szCs w:val="24"/>
        </w:rPr>
        <w:t xml:space="preserve">including documents describing the Project Overview and the Technical Approach, </w:t>
      </w:r>
      <w:r>
        <w:rPr>
          <w:color w:val="4E4E4E"/>
          <w:szCs w:val="24"/>
        </w:rPr>
        <w:t>can be found on the Emissions Tab of the main WRAP website under the link “Williston and Great Plains Basins’ O&amp;G 2011 and projection year Emission Inventory Project”</w:t>
      </w:r>
      <w:r w:rsidR="00A70D77">
        <w:rPr>
          <w:color w:val="4E4E4E"/>
          <w:szCs w:val="24"/>
        </w:rPr>
        <w:t>.  The schedules in these documents show the project being completed in August 2013, but delays have pushed that completion date back to the end of year 2013 instead.  When the reports for the two basins are completed, the WRAP will hold a stakeholder call to show the results to interested parties.  The</w:t>
      </w:r>
      <w:r w:rsidR="00912D8A">
        <w:rPr>
          <w:color w:val="4E4E4E"/>
          <w:szCs w:val="24"/>
        </w:rPr>
        <w:t xml:space="preserve"> page </w:t>
      </w:r>
      <w:r w:rsidR="00A70D77">
        <w:rPr>
          <w:color w:val="4E4E4E"/>
          <w:szCs w:val="24"/>
        </w:rPr>
        <w:t>is found</w:t>
      </w:r>
      <w:r>
        <w:rPr>
          <w:color w:val="4E4E4E"/>
          <w:szCs w:val="24"/>
        </w:rPr>
        <w:t xml:space="preserve"> at </w:t>
      </w:r>
      <w:hyperlink r:id="rId57" w:history="1">
        <w:r w:rsidRPr="00475185">
          <w:rPr>
            <w:rStyle w:val="Hyperlink"/>
            <w:sz w:val="24"/>
            <w:szCs w:val="24"/>
          </w:rPr>
          <w:t>http://www.wrapair2.org/ND-SD-MT.aspx</w:t>
        </w:r>
      </w:hyperlink>
      <w:r>
        <w:rPr>
          <w:color w:val="4E4E4E"/>
          <w:szCs w:val="24"/>
        </w:rPr>
        <w:t xml:space="preserve">. </w:t>
      </w:r>
    </w:p>
    <w:sectPr w:rsidR="00E47241" w:rsidRPr="00E52BC3" w:rsidSect="00B86A53">
      <w:headerReference w:type="even" r:id="rId58"/>
      <w:headerReference w:type="default" r:id="rId59"/>
      <w:footerReference w:type="even" r:id="rId60"/>
      <w:footerReference w:type="default" r:id="rId61"/>
      <w:type w:val="continuous"/>
      <w:pgSz w:w="12240" w:h="15840"/>
      <w:pgMar w:top="1920" w:right="900" w:bottom="1920" w:left="810" w:header="1440" w:footer="14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884" w:rsidRDefault="004D4884">
      <w:r>
        <w:separator/>
      </w:r>
    </w:p>
  </w:endnote>
  <w:endnote w:type="continuationSeparator" w:id="0">
    <w:p w:rsidR="004D4884" w:rsidRDefault="004D4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Std">
    <w:altName w:val="Courier St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938" w:rsidRDefault="00645938">
    <w:pPr>
      <w:framePr w:w="9360" w:h="280" w:hRule="exact" w:wrap="notBeside" w:vAnchor="page" w:hAnchor="text" w:y="1411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jc w:val="center"/>
      <w:rPr>
        <w:vanish/>
      </w:rPr>
    </w:pPr>
    <w:r>
      <w:pgNum/>
    </w:r>
  </w:p>
  <w:p w:rsidR="00645938" w:rsidRDefault="006459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938" w:rsidRDefault="00645938">
    <w:pPr>
      <w:framePr w:w="9360" w:h="280" w:hRule="exact" w:wrap="notBeside" w:vAnchor="page" w:hAnchor="text" w:y="1411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jc w:val="center"/>
      <w:rPr>
        <w:vanish/>
      </w:rPr>
    </w:pPr>
    <w:r>
      <w:pgNum/>
    </w:r>
  </w:p>
  <w:p w:rsidR="00645938" w:rsidRDefault="006459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938" w:rsidRDefault="00645938" w:rsidP="009E74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fldChar w:fldCharType="begin"/>
    </w:r>
    <w:r>
      <w:instrText xml:space="preserve"> PAGE   \* MERGEFORMAT </w:instrText>
    </w:r>
    <w:r>
      <w:fldChar w:fldCharType="separate"/>
    </w:r>
    <w:r>
      <w:rPr>
        <w:noProof/>
      </w:rPr>
      <w:t>32</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938" w:rsidRDefault="00645938" w:rsidP="009E74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fldChar w:fldCharType="begin"/>
    </w:r>
    <w:r>
      <w:instrText xml:space="preserve"> PAGE   \* MERGEFORMAT </w:instrText>
    </w:r>
    <w:r>
      <w:fldChar w:fldCharType="separate"/>
    </w:r>
    <w:r w:rsidR="00AB601C">
      <w:rPr>
        <w:noProof/>
      </w:rPr>
      <w:t>31</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938" w:rsidRPr="004D2D9A" w:rsidRDefault="00645938" w:rsidP="00521CA1">
    <w:pPr>
      <w:widowControl w:val="0"/>
      <w:tabs>
        <w:tab w:val="left" w:pos="180"/>
        <w:tab w:val="left" w:pos="8820"/>
      </w:tabs>
      <w:ind w:left="5040" w:hanging="5040"/>
      <w:rPr>
        <w:snapToGrid w:val="0"/>
        <w:sz w:val="16"/>
        <w:szCs w:val="16"/>
      </w:rPr>
    </w:pPr>
    <w:r>
      <w:rPr>
        <w:snapToGrid w:val="0"/>
        <w:sz w:val="16"/>
        <w:szCs w:val="16"/>
      </w:rPr>
      <w:t>Final Report</w:t>
    </w:r>
    <w:r>
      <w:rPr>
        <w:noProof/>
        <w:sz w:val="16"/>
        <w:szCs w:val="16"/>
      </w:rPr>
      <w:t xml:space="preserve"> </w:t>
    </w:r>
    <w:r>
      <w:rPr>
        <w:noProof/>
        <w:sz w:val="16"/>
        <w:szCs w:val="16"/>
      </w:rPr>
      <mc:AlternateContent>
        <mc:Choice Requires="wps">
          <w:drawing>
            <wp:anchor distT="0" distB="0" distL="114300" distR="114300" simplePos="0" relativeHeight="251658240" behindDoc="0" locked="0" layoutInCell="1" allowOverlap="1" wp14:anchorId="1CB8ED4E" wp14:editId="7D748846">
              <wp:simplePos x="0" y="0"/>
              <wp:positionH relativeFrom="column">
                <wp:posOffset>0</wp:posOffset>
              </wp:positionH>
              <wp:positionV relativeFrom="paragraph">
                <wp:posOffset>-53340</wp:posOffset>
              </wp:positionV>
              <wp:extent cx="5943600" cy="0"/>
              <wp:effectExtent l="9525" t="13335" r="9525" b="5715"/>
              <wp:wrapNone/>
              <wp:docPr id="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200AB" id="Line 5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2pt" to="46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Xj+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"/>
          </w:pict>
        </mc:Fallback>
      </mc:AlternateContent>
    </w:r>
    <w:r>
      <w:rPr>
        <w:snapToGrid w:val="0"/>
        <w:sz w:val="16"/>
        <w:szCs w:val="16"/>
      </w:rPr>
      <w:tab/>
    </w:r>
    <w:r>
      <w:rPr>
        <w:snapToGrid w:val="0"/>
        <w:sz w:val="16"/>
        <w:szCs w:val="16"/>
      </w:rPr>
      <w:tab/>
    </w:r>
    <w:r>
      <w:rPr>
        <w:rStyle w:val="PageNumber"/>
      </w:rPr>
      <w:fldChar w:fldCharType="begin"/>
    </w:r>
    <w:r>
      <w:rPr>
        <w:rStyle w:val="PageNumber"/>
      </w:rPr>
      <w:instrText xml:space="preserve"> PAGE </w:instrText>
    </w:r>
    <w:r>
      <w:rPr>
        <w:rStyle w:val="PageNumber"/>
      </w:rPr>
      <w:fldChar w:fldCharType="separate"/>
    </w:r>
    <w:r w:rsidR="00AB601C">
      <w:rPr>
        <w:rStyle w:val="PageNumber"/>
        <w:noProof/>
      </w:rPr>
      <w:t>35</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938" w:rsidRDefault="00645938">
    <w:pPr>
      <w:framePr w:w="9360" w:h="280" w:hRule="exact" w:wrap="notBeside" w:vAnchor="page" w:hAnchor="text" w:y="1411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jc w:val="center"/>
      <w:rPr>
        <w:vanish/>
      </w:rPr>
    </w:pPr>
    <w:r>
      <w:pgNum/>
    </w:r>
  </w:p>
  <w:p w:rsidR="00645938" w:rsidRDefault="006459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938" w:rsidRDefault="00645938">
    <w:pPr>
      <w:framePr w:w="9360" w:h="280" w:hRule="exact" w:wrap="notBeside" w:vAnchor="page" w:hAnchor="text" w:y="1411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vanish/>
      </w:rPr>
    </w:pPr>
    <w:r>
      <w:pgNum/>
    </w:r>
  </w:p>
  <w:p w:rsidR="00645938" w:rsidRDefault="006459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884" w:rsidRDefault="004D4884">
      <w:r>
        <w:separator/>
      </w:r>
    </w:p>
  </w:footnote>
  <w:footnote w:type="continuationSeparator" w:id="0">
    <w:p w:rsidR="004D4884" w:rsidRDefault="004D48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938" w:rsidRDefault="006459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938" w:rsidRDefault="006459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938" w:rsidRDefault="006459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938" w:rsidRDefault="006459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938" w:rsidRDefault="006459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938" w:rsidRDefault="006459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1A1894B"/>
    <w:multiLevelType w:val="hybridMultilevel"/>
    <w:tmpl w:val="E0B878B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D722996"/>
    <w:multiLevelType w:val="hybridMultilevel"/>
    <w:tmpl w:val="63A8361E"/>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E2631DC"/>
    <w:multiLevelType w:val="hybridMultilevel"/>
    <w:tmpl w:val="C9F0B1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1"/>
    <w:multiLevelType w:val="multilevel"/>
    <w:tmpl w:val="00000001"/>
    <w:lvl w:ilvl="0">
      <w:start w:val="15"/>
      <w:numFmt w:val="lowerLetter"/>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4">
    <w:nsid w:val="00000002"/>
    <w:multiLevelType w:val="multilevel"/>
    <w:tmpl w:val="00000002"/>
    <w:lvl w:ilvl="0">
      <w:start w:val="15"/>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5">
    <w:nsid w:val="11D12B4A"/>
    <w:multiLevelType w:val="hybridMultilevel"/>
    <w:tmpl w:val="5100F4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6F92BD"/>
    <w:multiLevelType w:val="hybridMultilevel"/>
    <w:tmpl w:val="09C690D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97B4187"/>
    <w:multiLevelType w:val="hybridMultilevel"/>
    <w:tmpl w:val="F296EE20"/>
    <w:lvl w:ilvl="0" w:tplc="AF780C94">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8">
    <w:nsid w:val="2218DF27"/>
    <w:multiLevelType w:val="hybridMultilevel"/>
    <w:tmpl w:val="484411A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29FF07D3"/>
    <w:multiLevelType w:val="hybridMultilevel"/>
    <w:tmpl w:val="BE3BA5D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34FBCCC9"/>
    <w:multiLevelType w:val="hybridMultilevel"/>
    <w:tmpl w:val="7D15632F"/>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4A48CE72"/>
    <w:multiLevelType w:val="hybridMultilevel"/>
    <w:tmpl w:val="55F10CE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7B4D0A83"/>
    <w:multiLevelType w:val="hybridMultilevel"/>
    <w:tmpl w:val="CD361B76"/>
    <w:lvl w:ilvl="0" w:tplc="9FB2FA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9"/>
  </w:num>
  <w:num w:numId="4">
    <w:abstractNumId w:val="12"/>
  </w:num>
  <w:num w:numId="5">
    <w:abstractNumId w:val="0"/>
  </w:num>
  <w:num w:numId="6">
    <w:abstractNumId w:val="2"/>
  </w:num>
  <w:num w:numId="7">
    <w:abstractNumId w:val="11"/>
  </w:num>
  <w:num w:numId="8">
    <w:abstractNumId w:val="6"/>
  </w:num>
  <w:num w:numId="9">
    <w:abstractNumId w:val="1"/>
  </w:num>
  <w:num w:numId="10">
    <w:abstractNumId w:val="10"/>
  </w:num>
  <w:num w:numId="11">
    <w:abstractNumId w:val="8"/>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C18"/>
    <w:rsid w:val="0000051A"/>
    <w:rsid w:val="000011B6"/>
    <w:rsid w:val="00002C37"/>
    <w:rsid w:val="00004458"/>
    <w:rsid w:val="00006B1D"/>
    <w:rsid w:val="00010633"/>
    <w:rsid w:val="00010E98"/>
    <w:rsid w:val="00012545"/>
    <w:rsid w:val="000159B6"/>
    <w:rsid w:val="00016AE2"/>
    <w:rsid w:val="00020436"/>
    <w:rsid w:val="00021923"/>
    <w:rsid w:val="000258FF"/>
    <w:rsid w:val="00026125"/>
    <w:rsid w:val="00026C9F"/>
    <w:rsid w:val="0002792F"/>
    <w:rsid w:val="0003161E"/>
    <w:rsid w:val="00036135"/>
    <w:rsid w:val="00042617"/>
    <w:rsid w:val="000462C2"/>
    <w:rsid w:val="00050B5E"/>
    <w:rsid w:val="00051F00"/>
    <w:rsid w:val="00052E4F"/>
    <w:rsid w:val="00053FA2"/>
    <w:rsid w:val="000543A9"/>
    <w:rsid w:val="000550E2"/>
    <w:rsid w:val="00061972"/>
    <w:rsid w:val="0006500C"/>
    <w:rsid w:val="00066E52"/>
    <w:rsid w:val="00074F5C"/>
    <w:rsid w:val="0007546A"/>
    <w:rsid w:val="00076F15"/>
    <w:rsid w:val="000819D0"/>
    <w:rsid w:val="000842CB"/>
    <w:rsid w:val="00090D93"/>
    <w:rsid w:val="00092758"/>
    <w:rsid w:val="00093481"/>
    <w:rsid w:val="000A2DB0"/>
    <w:rsid w:val="000A51FE"/>
    <w:rsid w:val="000A6827"/>
    <w:rsid w:val="000B02FA"/>
    <w:rsid w:val="000B0BB8"/>
    <w:rsid w:val="000B484E"/>
    <w:rsid w:val="000B7019"/>
    <w:rsid w:val="000B7AC0"/>
    <w:rsid w:val="000C4FEA"/>
    <w:rsid w:val="000C5BA2"/>
    <w:rsid w:val="000D23DC"/>
    <w:rsid w:val="000D24F0"/>
    <w:rsid w:val="000D6C31"/>
    <w:rsid w:val="000E529F"/>
    <w:rsid w:val="000E7737"/>
    <w:rsid w:val="000F0B15"/>
    <w:rsid w:val="00100040"/>
    <w:rsid w:val="001003CC"/>
    <w:rsid w:val="00106E0E"/>
    <w:rsid w:val="00112FCC"/>
    <w:rsid w:val="00115125"/>
    <w:rsid w:val="00120185"/>
    <w:rsid w:val="001210E7"/>
    <w:rsid w:val="0012419E"/>
    <w:rsid w:val="001262AC"/>
    <w:rsid w:val="00131F63"/>
    <w:rsid w:val="001328B7"/>
    <w:rsid w:val="00133582"/>
    <w:rsid w:val="00142093"/>
    <w:rsid w:val="00142696"/>
    <w:rsid w:val="001428F1"/>
    <w:rsid w:val="001435A6"/>
    <w:rsid w:val="00147228"/>
    <w:rsid w:val="00151314"/>
    <w:rsid w:val="00152309"/>
    <w:rsid w:val="0015424B"/>
    <w:rsid w:val="0015477F"/>
    <w:rsid w:val="00156A10"/>
    <w:rsid w:val="00163EFD"/>
    <w:rsid w:val="0017010E"/>
    <w:rsid w:val="001704AA"/>
    <w:rsid w:val="00172E50"/>
    <w:rsid w:val="00173043"/>
    <w:rsid w:val="00177A8D"/>
    <w:rsid w:val="00181338"/>
    <w:rsid w:val="001832BA"/>
    <w:rsid w:val="00184B56"/>
    <w:rsid w:val="00185535"/>
    <w:rsid w:val="00190914"/>
    <w:rsid w:val="00194095"/>
    <w:rsid w:val="001A32EB"/>
    <w:rsid w:val="001A4283"/>
    <w:rsid w:val="001A4365"/>
    <w:rsid w:val="001A5A87"/>
    <w:rsid w:val="001A72B7"/>
    <w:rsid w:val="001B1D1D"/>
    <w:rsid w:val="001B1E80"/>
    <w:rsid w:val="001B42E7"/>
    <w:rsid w:val="001B50BF"/>
    <w:rsid w:val="001B5699"/>
    <w:rsid w:val="001B754B"/>
    <w:rsid w:val="001C4F42"/>
    <w:rsid w:val="001C5391"/>
    <w:rsid w:val="001D0BB0"/>
    <w:rsid w:val="001D2D48"/>
    <w:rsid w:val="001D3BCF"/>
    <w:rsid w:val="001E01F5"/>
    <w:rsid w:val="001E6A7E"/>
    <w:rsid w:val="001E7927"/>
    <w:rsid w:val="001F101F"/>
    <w:rsid w:val="001F1D94"/>
    <w:rsid w:val="001F5292"/>
    <w:rsid w:val="001F7144"/>
    <w:rsid w:val="001F720D"/>
    <w:rsid w:val="001F7EE3"/>
    <w:rsid w:val="001F7FBB"/>
    <w:rsid w:val="00203B36"/>
    <w:rsid w:val="00204B9D"/>
    <w:rsid w:val="0021190E"/>
    <w:rsid w:val="00215E10"/>
    <w:rsid w:val="00216331"/>
    <w:rsid w:val="00217823"/>
    <w:rsid w:val="00223C7F"/>
    <w:rsid w:val="00225AD1"/>
    <w:rsid w:val="00226103"/>
    <w:rsid w:val="0023320C"/>
    <w:rsid w:val="00237B68"/>
    <w:rsid w:val="00243B3E"/>
    <w:rsid w:val="00243B90"/>
    <w:rsid w:val="00243F94"/>
    <w:rsid w:val="0025376D"/>
    <w:rsid w:val="002555DC"/>
    <w:rsid w:val="00257B92"/>
    <w:rsid w:val="00261C42"/>
    <w:rsid w:val="00261CEE"/>
    <w:rsid w:val="00264582"/>
    <w:rsid w:val="00266328"/>
    <w:rsid w:val="00271494"/>
    <w:rsid w:val="00271C18"/>
    <w:rsid w:val="002732B4"/>
    <w:rsid w:val="00277AD0"/>
    <w:rsid w:val="00285E1C"/>
    <w:rsid w:val="002861D0"/>
    <w:rsid w:val="00291D4F"/>
    <w:rsid w:val="002942B5"/>
    <w:rsid w:val="002A0B58"/>
    <w:rsid w:val="002A3716"/>
    <w:rsid w:val="002A4655"/>
    <w:rsid w:val="002A5E52"/>
    <w:rsid w:val="002A5E80"/>
    <w:rsid w:val="002A6008"/>
    <w:rsid w:val="002A6197"/>
    <w:rsid w:val="002A6C14"/>
    <w:rsid w:val="002B15E2"/>
    <w:rsid w:val="002B3AB1"/>
    <w:rsid w:val="002B40E0"/>
    <w:rsid w:val="002B4F70"/>
    <w:rsid w:val="002B58F3"/>
    <w:rsid w:val="002C23AD"/>
    <w:rsid w:val="002C422D"/>
    <w:rsid w:val="002C4840"/>
    <w:rsid w:val="002C7AD1"/>
    <w:rsid w:val="002D0859"/>
    <w:rsid w:val="002D3829"/>
    <w:rsid w:val="002D424B"/>
    <w:rsid w:val="002D50BA"/>
    <w:rsid w:val="002D6BE5"/>
    <w:rsid w:val="002E21AB"/>
    <w:rsid w:val="002E7F74"/>
    <w:rsid w:val="002F0349"/>
    <w:rsid w:val="002F4175"/>
    <w:rsid w:val="002F6CAE"/>
    <w:rsid w:val="0030012E"/>
    <w:rsid w:val="00300D42"/>
    <w:rsid w:val="00301BD8"/>
    <w:rsid w:val="00303861"/>
    <w:rsid w:val="0030388D"/>
    <w:rsid w:val="00304CE2"/>
    <w:rsid w:val="00305E1F"/>
    <w:rsid w:val="003104F0"/>
    <w:rsid w:val="0032045D"/>
    <w:rsid w:val="00321102"/>
    <w:rsid w:val="003217EC"/>
    <w:rsid w:val="00322C4F"/>
    <w:rsid w:val="00323F48"/>
    <w:rsid w:val="00325EFD"/>
    <w:rsid w:val="003305EC"/>
    <w:rsid w:val="00333F33"/>
    <w:rsid w:val="0034478C"/>
    <w:rsid w:val="0034520F"/>
    <w:rsid w:val="00351514"/>
    <w:rsid w:val="00353C99"/>
    <w:rsid w:val="003558CF"/>
    <w:rsid w:val="00362677"/>
    <w:rsid w:val="003732D7"/>
    <w:rsid w:val="00373639"/>
    <w:rsid w:val="00373D54"/>
    <w:rsid w:val="00374175"/>
    <w:rsid w:val="00374228"/>
    <w:rsid w:val="003762E9"/>
    <w:rsid w:val="003770C5"/>
    <w:rsid w:val="00380DFC"/>
    <w:rsid w:val="00381C28"/>
    <w:rsid w:val="00382B2F"/>
    <w:rsid w:val="0038383A"/>
    <w:rsid w:val="00393950"/>
    <w:rsid w:val="003A2744"/>
    <w:rsid w:val="003A59CC"/>
    <w:rsid w:val="003A7674"/>
    <w:rsid w:val="003A78E5"/>
    <w:rsid w:val="003B05EB"/>
    <w:rsid w:val="003B2E38"/>
    <w:rsid w:val="003B3669"/>
    <w:rsid w:val="003B7C7B"/>
    <w:rsid w:val="003C0139"/>
    <w:rsid w:val="003C2647"/>
    <w:rsid w:val="003C3A78"/>
    <w:rsid w:val="003C4365"/>
    <w:rsid w:val="003D31AF"/>
    <w:rsid w:val="003D38E7"/>
    <w:rsid w:val="003D3CE1"/>
    <w:rsid w:val="003E1940"/>
    <w:rsid w:val="003E2501"/>
    <w:rsid w:val="003E2F0C"/>
    <w:rsid w:val="003E4408"/>
    <w:rsid w:val="003E4727"/>
    <w:rsid w:val="003E64B1"/>
    <w:rsid w:val="003E6BF0"/>
    <w:rsid w:val="003E7EF1"/>
    <w:rsid w:val="003F5603"/>
    <w:rsid w:val="00401DAE"/>
    <w:rsid w:val="00403DA7"/>
    <w:rsid w:val="00412871"/>
    <w:rsid w:val="00415B5A"/>
    <w:rsid w:val="00415F17"/>
    <w:rsid w:val="00416BE9"/>
    <w:rsid w:val="004205B3"/>
    <w:rsid w:val="004205B5"/>
    <w:rsid w:val="004240A4"/>
    <w:rsid w:val="00427C09"/>
    <w:rsid w:val="0043445C"/>
    <w:rsid w:val="00434513"/>
    <w:rsid w:val="004405C4"/>
    <w:rsid w:val="004430EA"/>
    <w:rsid w:val="00451611"/>
    <w:rsid w:val="004556F4"/>
    <w:rsid w:val="00456117"/>
    <w:rsid w:val="00456E75"/>
    <w:rsid w:val="004618B4"/>
    <w:rsid w:val="00461A3D"/>
    <w:rsid w:val="0046337A"/>
    <w:rsid w:val="00471F9F"/>
    <w:rsid w:val="00475E89"/>
    <w:rsid w:val="004821ED"/>
    <w:rsid w:val="0048254A"/>
    <w:rsid w:val="00493D39"/>
    <w:rsid w:val="00495686"/>
    <w:rsid w:val="0049690B"/>
    <w:rsid w:val="00497363"/>
    <w:rsid w:val="004A30CF"/>
    <w:rsid w:val="004A6A8B"/>
    <w:rsid w:val="004A73DC"/>
    <w:rsid w:val="004A7BD6"/>
    <w:rsid w:val="004B3131"/>
    <w:rsid w:val="004B3B20"/>
    <w:rsid w:val="004C07BC"/>
    <w:rsid w:val="004C0D8B"/>
    <w:rsid w:val="004C2455"/>
    <w:rsid w:val="004C26B5"/>
    <w:rsid w:val="004D1A69"/>
    <w:rsid w:val="004D1D0A"/>
    <w:rsid w:val="004D4031"/>
    <w:rsid w:val="004D4884"/>
    <w:rsid w:val="004D59BD"/>
    <w:rsid w:val="004D788B"/>
    <w:rsid w:val="004E1B68"/>
    <w:rsid w:val="004E6CF4"/>
    <w:rsid w:val="0050104C"/>
    <w:rsid w:val="00504064"/>
    <w:rsid w:val="00515033"/>
    <w:rsid w:val="00521CA1"/>
    <w:rsid w:val="00521F06"/>
    <w:rsid w:val="00522C74"/>
    <w:rsid w:val="00533354"/>
    <w:rsid w:val="005407D8"/>
    <w:rsid w:val="00541491"/>
    <w:rsid w:val="00553098"/>
    <w:rsid w:val="00553E38"/>
    <w:rsid w:val="005548D4"/>
    <w:rsid w:val="005553D1"/>
    <w:rsid w:val="005631F1"/>
    <w:rsid w:val="00563E54"/>
    <w:rsid w:val="00565DA6"/>
    <w:rsid w:val="00567B2A"/>
    <w:rsid w:val="005748FB"/>
    <w:rsid w:val="00576477"/>
    <w:rsid w:val="005767C1"/>
    <w:rsid w:val="00580598"/>
    <w:rsid w:val="00581669"/>
    <w:rsid w:val="00593FA9"/>
    <w:rsid w:val="0059418E"/>
    <w:rsid w:val="0059434A"/>
    <w:rsid w:val="00595EAA"/>
    <w:rsid w:val="0059687A"/>
    <w:rsid w:val="005A246A"/>
    <w:rsid w:val="005B0438"/>
    <w:rsid w:val="005B5F48"/>
    <w:rsid w:val="005B63BE"/>
    <w:rsid w:val="005C116D"/>
    <w:rsid w:val="005C24CE"/>
    <w:rsid w:val="005C2EF7"/>
    <w:rsid w:val="005C3C42"/>
    <w:rsid w:val="005C67CD"/>
    <w:rsid w:val="005E5EA3"/>
    <w:rsid w:val="005F2CD2"/>
    <w:rsid w:val="00604190"/>
    <w:rsid w:val="00604279"/>
    <w:rsid w:val="00604D29"/>
    <w:rsid w:val="0060714C"/>
    <w:rsid w:val="00614717"/>
    <w:rsid w:val="006148CD"/>
    <w:rsid w:val="0061561C"/>
    <w:rsid w:val="00616050"/>
    <w:rsid w:val="00620E70"/>
    <w:rsid w:val="00627D19"/>
    <w:rsid w:val="00634892"/>
    <w:rsid w:val="00635494"/>
    <w:rsid w:val="00636071"/>
    <w:rsid w:val="00645938"/>
    <w:rsid w:val="0064743C"/>
    <w:rsid w:val="006509E9"/>
    <w:rsid w:val="00650D7E"/>
    <w:rsid w:val="00651ED5"/>
    <w:rsid w:val="006525B4"/>
    <w:rsid w:val="00666F4F"/>
    <w:rsid w:val="0066791B"/>
    <w:rsid w:val="00671A8F"/>
    <w:rsid w:val="006729B4"/>
    <w:rsid w:val="00674846"/>
    <w:rsid w:val="00675273"/>
    <w:rsid w:val="0067651A"/>
    <w:rsid w:val="00676836"/>
    <w:rsid w:val="006818E5"/>
    <w:rsid w:val="00682831"/>
    <w:rsid w:val="006855D0"/>
    <w:rsid w:val="00690059"/>
    <w:rsid w:val="00690B85"/>
    <w:rsid w:val="006941BC"/>
    <w:rsid w:val="006949B1"/>
    <w:rsid w:val="006964B3"/>
    <w:rsid w:val="006A1955"/>
    <w:rsid w:val="006A1B46"/>
    <w:rsid w:val="006A356F"/>
    <w:rsid w:val="006A5F9B"/>
    <w:rsid w:val="006B3125"/>
    <w:rsid w:val="006B4732"/>
    <w:rsid w:val="006B6E78"/>
    <w:rsid w:val="006E02DA"/>
    <w:rsid w:val="006E24A5"/>
    <w:rsid w:val="006E2C18"/>
    <w:rsid w:val="006E5542"/>
    <w:rsid w:val="006E627F"/>
    <w:rsid w:val="006E746A"/>
    <w:rsid w:val="006F5438"/>
    <w:rsid w:val="006F7CB5"/>
    <w:rsid w:val="0070474F"/>
    <w:rsid w:val="007056C2"/>
    <w:rsid w:val="00712C95"/>
    <w:rsid w:val="007152DD"/>
    <w:rsid w:val="00715CCF"/>
    <w:rsid w:val="00716452"/>
    <w:rsid w:val="007222BA"/>
    <w:rsid w:val="00723A6A"/>
    <w:rsid w:val="00725410"/>
    <w:rsid w:val="00731263"/>
    <w:rsid w:val="007376FB"/>
    <w:rsid w:val="00740A38"/>
    <w:rsid w:val="0074445C"/>
    <w:rsid w:val="007449B6"/>
    <w:rsid w:val="007455FF"/>
    <w:rsid w:val="00747654"/>
    <w:rsid w:val="007512BD"/>
    <w:rsid w:val="00755A66"/>
    <w:rsid w:val="00761A2D"/>
    <w:rsid w:val="007636B5"/>
    <w:rsid w:val="00765567"/>
    <w:rsid w:val="00767632"/>
    <w:rsid w:val="00774281"/>
    <w:rsid w:val="00775100"/>
    <w:rsid w:val="00777B3E"/>
    <w:rsid w:val="00781C1F"/>
    <w:rsid w:val="0078285D"/>
    <w:rsid w:val="0079688C"/>
    <w:rsid w:val="007A1DEA"/>
    <w:rsid w:val="007A4BF4"/>
    <w:rsid w:val="007A5862"/>
    <w:rsid w:val="007B0230"/>
    <w:rsid w:val="007B4767"/>
    <w:rsid w:val="007B4D83"/>
    <w:rsid w:val="007B5603"/>
    <w:rsid w:val="007B647A"/>
    <w:rsid w:val="007B7701"/>
    <w:rsid w:val="007C28F7"/>
    <w:rsid w:val="007C3A60"/>
    <w:rsid w:val="007C3AF8"/>
    <w:rsid w:val="007C5C51"/>
    <w:rsid w:val="007C7201"/>
    <w:rsid w:val="007D07F4"/>
    <w:rsid w:val="007D39EF"/>
    <w:rsid w:val="007D496B"/>
    <w:rsid w:val="007E2062"/>
    <w:rsid w:val="007E4177"/>
    <w:rsid w:val="007F02C8"/>
    <w:rsid w:val="007F197C"/>
    <w:rsid w:val="007F272E"/>
    <w:rsid w:val="007F5232"/>
    <w:rsid w:val="007F7501"/>
    <w:rsid w:val="007F7BF6"/>
    <w:rsid w:val="00800007"/>
    <w:rsid w:val="00802B61"/>
    <w:rsid w:val="00803E6F"/>
    <w:rsid w:val="0080443E"/>
    <w:rsid w:val="008054C6"/>
    <w:rsid w:val="00807A92"/>
    <w:rsid w:val="00807AAD"/>
    <w:rsid w:val="00807B1E"/>
    <w:rsid w:val="00815137"/>
    <w:rsid w:val="00815574"/>
    <w:rsid w:val="00815861"/>
    <w:rsid w:val="00823FF0"/>
    <w:rsid w:val="00825E2C"/>
    <w:rsid w:val="00830703"/>
    <w:rsid w:val="00832071"/>
    <w:rsid w:val="00832E44"/>
    <w:rsid w:val="00836B2F"/>
    <w:rsid w:val="00836F06"/>
    <w:rsid w:val="008436E4"/>
    <w:rsid w:val="00847327"/>
    <w:rsid w:val="00854E36"/>
    <w:rsid w:val="008654E4"/>
    <w:rsid w:val="00873918"/>
    <w:rsid w:val="00885094"/>
    <w:rsid w:val="00885929"/>
    <w:rsid w:val="008859B5"/>
    <w:rsid w:val="00891B36"/>
    <w:rsid w:val="008928C8"/>
    <w:rsid w:val="00893792"/>
    <w:rsid w:val="008951F6"/>
    <w:rsid w:val="008972B6"/>
    <w:rsid w:val="00897F8B"/>
    <w:rsid w:val="008A07D5"/>
    <w:rsid w:val="008A22B0"/>
    <w:rsid w:val="008A4E7D"/>
    <w:rsid w:val="008A6709"/>
    <w:rsid w:val="008B0569"/>
    <w:rsid w:val="008B0F46"/>
    <w:rsid w:val="008B2A60"/>
    <w:rsid w:val="008B3535"/>
    <w:rsid w:val="008B39C5"/>
    <w:rsid w:val="008B41EF"/>
    <w:rsid w:val="008C28E5"/>
    <w:rsid w:val="008C72AB"/>
    <w:rsid w:val="008C7C0D"/>
    <w:rsid w:val="008D394A"/>
    <w:rsid w:val="008E0B70"/>
    <w:rsid w:val="008E2393"/>
    <w:rsid w:val="008E558C"/>
    <w:rsid w:val="008E6B05"/>
    <w:rsid w:val="008F0974"/>
    <w:rsid w:val="008F3F87"/>
    <w:rsid w:val="008F5CE3"/>
    <w:rsid w:val="008F5E0D"/>
    <w:rsid w:val="008F7E35"/>
    <w:rsid w:val="00902A30"/>
    <w:rsid w:val="00902CE5"/>
    <w:rsid w:val="00903F20"/>
    <w:rsid w:val="00910EC4"/>
    <w:rsid w:val="00912D8A"/>
    <w:rsid w:val="00915872"/>
    <w:rsid w:val="00917D2C"/>
    <w:rsid w:val="0092323A"/>
    <w:rsid w:val="0093120B"/>
    <w:rsid w:val="009328C4"/>
    <w:rsid w:val="009336E2"/>
    <w:rsid w:val="009348B2"/>
    <w:rsid w:val="00936ADB"/>
    <w:rsid w:val="009377CB"/>
    <w:rsid w:val="00943861"/>
    <w:rsid w:val="00944C79"/>
    <w:rsid w:val="00944DDA"/>
    <w:rsid w:val="00950BD4"/>
    <w:rsid w:val="009516A0"/>
    <w:rsid w:val="0095597E"/>
    <w:rsid w:val="00956808"/>
    <w:rsid w:val="00957084"/>
    <w:rsid w:val="00964877"/>
    <w:rsid w:val="0096580F"/>
    <w:rsid w:val="00971187"/>
    <w:rsid w:val="009721E7"/>
    <w:rsid w:val="009757E2"/>
    <w:rsid w:val="0098006D"/>
    <w:rsid w:val="00980E7D"/>
    <w:rsid w:val="009812A7"/>
    <w:rsid w:val="0098168C"/>
    <w:rsid w:val="00983A24"/>
    <w:rsid w:val="009857E9"/>
    <w:rsid w:val="00991A85"/>
    <w:rsid w:val="0099758E"/>
    <w:rsid w:val="0099797E"/>
    <w:rsid w:val="009A0065"/>
    <w:rsid w:val="009A14A9"/>
    <w:rsid w:val="009A2667"/>
    <w:rsid w:val="009A6D79"/>
    <w:rsid w:val="009A7F75"/>
    <w:rsid w:val="009B26E2"/>
    <w:rsid w:val="009B55F7"/>
    <w:rsid w:val="009B6735"/>
    <w:rsid w:val="009B6882"/>
    <w:rsid w:val="009B6FDC"/>
    <w:rsid w:val="009C3D58"/>
    <w:rsid w:val="009C416C"/>
    <w:rsid w:val="009C5969"/>
    <w:rsid w:val="009C7212"/>
    <w:rsid w:val="009D0E39"/>
    <w:rsid w:val="009D2CB1"/>
    <w:rsid w:val="009D33B8"/>
    <w:rsid w:val="009D49A3"/>
    <w:rsid w:val="009D6CF7"/>
    <w:rsid w:val="009E06AF"/>
    <w:rsid w:val="009E0C0C"/>
    <w:rsid w:val="009E440B"/>
    <w:rsid w:val="009E46B0"/>
    <w:rsid w:val="009E74DF"/>
    <w:rsid w:val="009F175B"/>
    <w:rsid w:val="009F2805"/>
    <w:rsid w:val="009F5AE1"/>
    <w:rsid w:val="009F79C9"/>
    <w:rsid w:val="00A0057F"/>
    <w:rsid w:val="00A00DFF"/>
    <w:rsid w:val="00A04C7D"/>
    <w:rsid w:val="00A053AC"/>
    <w:rsid w:val="00A170C3"/>
    <w:rsid w:val="00A20D41"/>
    <w:rsid w:val="00A2419B"/>
    <w:rsid w:val="00A24ED4"/>
    <w:rsid w:val="00A251C1"/>
    <w:rsid w:val="00A27198"/>
    <w:rsid w:val="00A34C36"/>
    <w:rsid w:val="00A40792"/>
    <w:rsid w:val="00A412AB"/>
    <w:rsid w:val="00A4361C"/>
    <w:rsid w:val="00A44988"/>
    <w:rsid w:val="00A450DC"/>
    <w:rsid w:val="00A47894"/>
    <w:rsid w:val="00A524A7"/>
    <w:rsid w:val="00A5586B"/>
    <w:rsid w:val="00A63564"/>
    <w:rsid w:val="00A651AE"/>
    <w:rsid w:val="00A70AD3"/>
    <w:rsid w:val="00A70D77"/>
    <w:rsid w:val="00A73636"/>
    <w:rsid w:val="00A73F5D"/>
    <w:rsid w:val="00A753B8"/>
    <w:rsid w:val="00A75E0C"/>
    <w:rsid w:val="00A76AEF"/>
    <w:rsid w:val="00A82918"/>
    <w:rsid w:val="00A84A92"/>
    <w:rsid w:val="00A93CBF"/>
    <w:rsid w:val="00A93EB3"/>
    <w:rsid w:val="00AA0C1D"/>
    <w:rsid w:val="00AA20CE"/>
    <w:rsid w:val="00AA42B7"/>
    <w:rsid w:val="00AB0F5D"/>
    <w:rsid w:val="00AB2666"/>
    <w:rsid w:val="00AB3EA7"/>
    <w:rsid w:val="00AB601C"/>
    <w:rsid w:val="00AC4436"/>
    <w:rsid w:val="00AC462A"/>
    <w:rsid w:val="00AC5A18"/>
    <w:rsid w:val="00AD14F0"/>
    <w:rsid w:val="00AD5824"/>
    <w:rsid w:val="00AD584C"/>
    <w:rsid w:val="00AD7B1E"/>
    <w:rsid w:val="00AE0D2E"/>
    <w:rsid w:val="00AE2D98"/>
    <w:rsid w:val="00AE4385"/>
    <w:rsid w:val="00AF2BCA"/>
    <w:rsid w:val="00AF5D4C"/>
    <w:rsid w:val="00AF6EDD"/>
    <w:rsid w:val="00B00294"/>
    <w:rsid w:val="00B0191C"/>
    <w:rsid w:val="00B05F55"/>
    <w:rsid w:val="00B06622"/>
    <w:rsid w:val="00B12F8E"/>
    <w:rsid w:val="00B13D68"/>
    <w:rsid w:val="00B16960"/>
    <w:rsid w:val="00B17149"/>
    <w:rsid w:val="00B224FC"/>
    <w:rsid w:val="00B24A96"/>
    <w:rsid w:val="00B25294"/>
    <w:rsid w:val="00B26379"/>
    <w:rsid w:val="00B26507"/>
    <w:rsid w:val="00B43DD0"/>
    <w:rsid w:val="00B47B04"/>
    <w:rsid w:val="00B51926"/>
    <w:rsid w:val="00B53349"/>
    <w:rsid w:val="00B539C7"/>
    <w:rsid w:val="00B5627E"/>
    <w:rsid w:val="00B63F8C"/>
    <w:rsid w:val="00B7184C"/>
    <w:rsid w:val="00B72137"/>
    <w:rsid w:val="00B72B60"/>
    <w:rsid w:val="00B75D3C"/>
    <w:rsid w:val="00B76D64"/>
    <w:rsid w:val="00B81F02"/>
    <w:rsid w:val="00B86124"/>
    <w:rsid w:val="00B86A11"/>
    <w:rsid w:val="00B86A53"/>
    <w:rsid w:val="00B9024B"/>
    <w:rsid w:val="00B93093"/>
    <w:rsid w:val="00BA0ED4"/>
    <w:rsid w:val="00BA1F92"/>
    <w:rsid w:val="00BA760F"/>
    <w:rsid w:val="00BB019B"/>
    <w:rsid w:val="00BB25BF"/>
    <w:rsid w:val="00BB3CCB"/>
    <w:rsid w:val="00BB499D"/>
    <w:rsid w:val="00BB6D3A"/>
    <w:rsid w:val="00BC1025"/>
    <w:rsid w:val="00BC1AEC"/>
    <w:rsid w:val="00BC3C8B"/>
    <w:rsid w:val="00BE503F"/>
    <w:rsid w:val="00BE5E8E"/>
    <w:rsid w:val="00BF1E23"/>
    <w:rsid w:val="00BF2022"/>
    <w:rsid w:val="00BF2633"/>
    <w:rsid w:val="00BF6DB9"/>
    <w:rsid w:val="00C0085C"/>
    <w:rsid w:val="00C11E62"/>
    <w:rsid w:val="00C144C1"/>
    <w:rsid w:val="00C145F1"/>
    <w:rsid w:val="00C16888"/>
    <w:rsid w:val="00C17C2B"/>
    <w:rsid w:val="00C219AF"/>
    <w:rsid w:val="00C25054"/>
    <w:rsid w:val="00C270EA"/>
    <w:rsid w:val="00C31746"/>
    <w:rsid w:val="00C319F2"/>
    <w:rsid w:val="00C32058"/>
    <w:rsid w:val="00C33E5D"/>
    <w:rsid w:val="00C36139"/>
    <w:rsid w:val="00C37648"/>
    <w:rsid w:val="00C431A0"/>
    <w:rsid w:val="00C45751"/>
    <w:rsid w:val="00C47C14"/>
    <w:rsid w:val="00C5232E"/>
    <w:rsid w:val="00C52E97"/>
    <w:rsid w:val="00C53E9F"/>
    <w:rsid w:val="00C57717"/>
    <w:rsid w:val="00C6139D"/>
    <w:rsid w:val="00C61432"/>
    <w:rsid w:val="00C66E10"/>
    <w:rsid w:val="00C6740D"/>
    <w:rsid w:val="00C759C8"/>
    <w:rsid w:val="00C832DD"/>
    <w:rsid w:val="00C83463"/>
    <w:rsid w:val="00C8497D"/>
    <w:rsid w:val="00C84D4F"/>
    <w:rsid w:val="00C858C1"/>
    <w:rsid w:val="00C86035"/>
    <w:rsid w:val="00C860DC"/>
    <w:rsid w:val="00C90EFB"/>
    <w:rsid w:val="00CA23DC"/>
    <w:rsid w:val="00CA34B5"/>
    <w:rsid w:val="00CB014D"/>
    <w:rsid w:val="00CB0D1F"/>
    <w:rsid w:val="00CB0EF8"/>
    <w:rsid w:val="00CB2273"/>
    <w:rsid w:val="00CB264B"/>
    <w:rsid w:val="00CB3EEA"/>
    <w:rsid w:val="00CC2520"/>
    <w:rsid w:val="00CC2DAD"/>
    <w:rsid w:val="00CC571B"/>
    <w:rsid w:val="00CC75E6"/>
    <w:rsid w:val="00CD0C71"/>
    <w:rsid w:val="00CD43E8"/>
    <w:rsid w:val="00CD570D"/>
    <w:rsid w:val="00CE1E5F"/>
    <w:rsid w:val="00CE3139"/>
    <w:rsid w:val="00CE34C9"/>
    <w:rsid w:val="00CE6456"/>
    <w:rsid w:val="00CE6A6D"/>
    <w:rsid w:val="00CF0570"/>
    <w:rsid w:val="00CF2FF3"/>
    <w:rsid w:val="00CF5E41"/>
    <w:rsid w:val="00D0113B"/>
    <w:rsid w:val="00D034A5"/>
    <w:rsid w:val="00D036A0"/>
    <w:rsid w:val="00D053BD"/>
    <w:rsid w:val="00D06B79"/>
    <w:rsid w:val="00D10F94"/>
    <w:rsid w:val="00D142CC"/>
    <w:rsid w:val="00D15774"/>
    <w:rsid w:val="00D17566"/>
    <w:rsid w:val="00D2123D"/>
    <w:rsid w:val="00D2559F"/>
    <w:rsid w:val="00D25F82"/>
    <w:rsid w:val="00D2713D"/>
    <w:rsid w:val="00D30EE3"/>
    <w:rsid w:val="00D364C8"/>
    <w:rsid w:val="00D37FE0"/>
    <w:rsid w:val="00D40C91"/>
    <w:rsid w:val="00D40E5D"/>
    <w:rsid w:val="00D42BAD"/>
    <w:rsid w:val="00D4354D"/>
    <w:rsid w:val="00D45173"/>
    <w:rsid w:val="00D479E0"/>
    <w:rsid w:val="00D52A77"/>
    <w:rsid w:val="00D53EBF"/>
    <w:rsid w:val="00D54524"/>
    <w:rsid w:val="00D552E8"/>
    <w:rsid w:val="00D5558C"/>
    <w:rsid w:val="00D573B2"/>
    <w:rsid w:val="00D73213"/>
    <w:rsid w:val="00D7656B"/>
    <w:rsid w:val="00D873A3"/>
    <w:rsid w:val="00D87E5B"/>
    <w:rsid w:val="00D9022D"/>
    <w:rsid w:val="00D9188F"/>
    <w:rsid w:val="00DA30CA"/>
    <w:rsid w:val="00DA4493"/>
    <w:rsid w:val="00DA694A"/>
    <w:rsid w:val="00DB42F9"/>
    <w:rsid w:val="00DB6342"/>
    <w:rsid w:val="00DB6DF2"/>
    <w:rsid w:val="00DB70C6"/>
    <w:rsid w:val="00DC0B7E"/>
    <w:rsid w:val="00DC4B11"/>
    <w:rsid w:val="00DC6A38"/>
    <w:rsid w:val="00DD18DE"/>
    <w:rsid w:val="00DD19A1"/>
    <w:rsid w:val="00DD63DD"/>
    <w:rsid w:val="00DE0F0B"/>
    <w:rsid w:val="00DE15C3"/>
    <w:rsid w:val="00DF22AC"/>
    <w:rsid w:val="00DF6B2D"/>
    <w:rsid w:val="00DF7E2D"/>
    <w:rsid w:val="00E00773"/>
    <w:rsid w:val="00E0365C"/>
    <w:rsid w:val="00E06DA1"/>
    <w:rsid w:val="00E07902"/>
    <w:rsid w:val="00E10F59"/>
    <w:rsid w:val="00E1181C"/>
    <w:rsid w:val="00E1250A"/>
    <w:rsid w:val="00E13370"/>
    <w:rsid w:val="00E1494E"/>
    <w:rsid w:val="00E15D80"/>
    <w:rsid w:val="00E21C92"/>
    <w:rsid w:val="00E26C08"/>
    <w:rsid w:val="00E27DC4"/>
    <w:rsid w:val="00E30380"/>
    <w:rsid w:val="00E42BDD"/>
    <w:rsid w:val="00E4390A"/>
    <w:rsid w:val="00E45BF9"/>
    <w:rsid w:val="00E47241"/>
    <w:rsid w:val="00E52BC3"/>
    <w:rsid w:val="00E554F4"/>
    <w:rsid w:val="00E65162"/>
    <w:rsid w:val="00E679FD"/>
    <w:rsid w:val="00E67B40"/>
    <w:rsid w:val="00E773C1"/>
    <w:rsid w:val="00E8009B"/>
    <w:rsid w:val="00E8516F"/>
    <w:rsid w:val="00E85D1A"/>
    <w:rsid w:val="00E860F8"/>
    <w:rsid w:val="00E9430F"/>
    <w:rsid w:val="00EA01F5"/>
    <w:rsid w:val="00EA0278"/>
    <w:rsid w:val="00EA133B"/>
    <w:rsid w:val="00EA48C4"/>
    <w:rsid w:val="00EA6E24"/>
    <w:rsid w:val="00EB09C9"/>
    <w:rsid w:val="00EB1DBA"/>
    <w:rsid w:val="00EB41BB"/>
    <w:rsid w:val="00EC1DF3"/>
    <w:rsid w:val="00EC229B"/>
    <w:rsid w:val="00ED0D7E"/>
    <w:rsid w:val="00ED2DA0"/>
    <w:rsid w:val="00ED45C5"/>
    <w:rsid w:val="00ED4F7C"/>
    <w:rsid w:val="00ED72F0"/>
    <w:rsid w:val="00EE150A"/>
    <w:rsid w:val="00EE481A"/>
    <w:rsid w:val="00EF0BDD"/>
    <w:rsid w:val="00EF0E2E"/>
    <w:rsid w:val="00EF36EA"/>
    <w:rsid w:val="00EF5280"/>
    <w:rsid w:val="00EF6797"/>
    <w:rsid w:val="00F00522"/>
    <w:rsid w:val="00F04B5E"/>
    <w:rsid w:val="00F04E4E"/>
    <w:rsid w:val="00F05E56"/>
    <w:rsid w:val="00F06178"/>
    <w:rsid w:val="00F14559"/>
    <w:rsid w:val="00F23749"/>
    <w:rsid w:val="00F268BC"/>
    <w:rsid w:val="00F27DFE"/>
    <w:rsid w:val="00F343E2"/>
    <w:rsid w:val="00F37039"/>
    <w:rsid w:val="00F40159"/>
    <w:rsid w:val="00F4188E"/>
    <w:rsid w:val="00F421CF"/>
    <w:rsid w:val="00F42BAA"/>
    <w:rsid w:val="00F44BFB"/>
    <w:rsid w:val="00F459B1"/>
    <w:rsid w:val="00F472B4"/>
    <w:rsid w:val="00F5126F"/>
    <w:rsid w:val="00F54569"/>
    <w:rsid w:val="00F57256"/>
    <w:rsid w:val="00F625AC"/>
    <w:rsid w:val="00F720A5"/>
    <w:rsid w:val="00F73960"/>
    <w:rsid w:val="00F73C0F"/>
    <w:rsid w:val="00F76D64"/>
    <w:rsid w:val="00F81965"/>
    <w:rsid w:val="00F855A2"/>
    <w:rsid w:val="00F92249"/>
    <w:rsid w:val="00F925ED"/>
    <w:rsid w:val="00F946A7"/>
    <w:rsid w:val="00F96D60"/>
    <w:rsid w:val="00F9736E"/>
    <w:rsid w:val="00FA02BB"/>
    <w:rsid w:val="00FA0B44"/>
    <w:rsid w:val="00FA1119"/>
    <w:rsid w:val="00FA17C0"/>
    <w:rsid w:val="00FA4C5F"/>
    <w:rsid w:val="00FA7824"/>
    <w:rsid w:val="00FB2B07"/>
    <w:rsid w:val="00FB4EA3"/>
    <w:rsid w:val="00FB4F86"/>
    <w:rsid w:val="00FC328E"/>
    <w:rsid w:val="00FC573C"/>
    <w:rsid w:val="00FE600B"/>
    <w:rsid w:val="00FF26E9"/>
    <w:rsid w:val="00FF4A40"/>
    <w:rsid w:val="00FF7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4D3B91F-000A-4387-A625-364BBBA47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6960"/>
    <w:rPr>
      <w:sz w:val="24"/>
    </w:rPr>
  </w:style>
  <w:style w:type="paragraph" w:styleId="Heading1">
    <w:name w:val="heading 1"/>
    <w:basedOn w:val="Normal"/>
    <w:next w:val="Normal"/>
    <w:link w:val="Heading1Char"/>
    <w:uiPriority w:val="9"/>
    <w:qFormat/>
    <w:rsid w:val="00902CE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2719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27198"/>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0B0BB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B75D3C"/>
  </w:style>
  <w:style w:type="paragraph" w:customStyle="1" w:styleId="Custom1">
    <w:name w:val="Custom1"/>
    <w:basedOn w:val="Normal"/>
    <w:rsid w:val="00B16960"/>
    <w:pPr>
      <w:widowControl w:val="0"/>
    </w:pPr>
  </w:style>
  <w:style w:type="paragraph" w:customStyle="1" w:styleId="Custom2">
    <w:name w:val="Custom2"/>
    <w:basedOn w:val="Normal"/>
    <w:rsid w:val="00B16960"/>
    <w:pPr>
      <w:widowControl w:val="0"/>
    </w:pPr>
  </w:style>
  <w:style w:type="paragraph" w:customStyle="1" w:styleId="Level3">
    <w:name w:val="Level 3"/>
    <w:basedOn w:val="Normal"/>
    <w:rsid w:val="00B16960"/>
    <w:pPr>
      <w:widowControl w:val="0"/>
    </w:pPr>
  </w:style>
  <w:style w:type="paragraph" w:customStyle="1" w:styleId="Level4">
    <w:name w:val="Level 4"/>
    <w:basedOn w:val="Normal"/>
    <w:rsid w:val="00B16960"/>
    <w:pPr>
      <w:widowControl w:val="0"/>
    </w:pPr>
  </w:style>
  <w:style w:type="paragraph" w:customStyle="1" w:styleId="Level5">
    <w:name w:val="Level 5"/>
    <w:basedOn w:val="Normal"/>
    <w:rsid w:val="00B16960"/>
    <w:pPr>
      <w:widowControl w:val="0"/>
    </w:pPr>
  </w:style>
  <w:style w:type="paragraph" w:customStyle="1" w:styleId="Level6">
    <w:name w:val="Level 6"/>
    <w:basedOn w:val="Normal"/>
    <w:rsid w:val="00B16960"/>
    <w:pPr>
      <w:widowControl w:val="0"/>
    </w:pPr>
  </w:style>
  <w:style w:type="paragraph" w:customStyle="1" w:styleId="Level7">
    <w:name w:val="Level 7"/>
    <w:basedOn w:val="Normal"/>
    <w:rsid w:val="00B16960"/>
    <w:pPr>
      <w:widowControl w:val="0"/>
    </w:pPr>
  </w:style>
  <w:style w:type="paragraph" w:customStyle="1" w:styleId="Level8">
    <w:name w:val="Level 8"/>
    <w:basedOn w:val="Normal"/>
    <w:rsid w:val="00B16960"/>
    <w:pPr>
      <w:widowControl w:val="0"/>
    </w:pPr>
  </w:style>
  <w:style w:type="paragraph" w:customStyle="1" w:styleId="Level9">
    <w:name w:val="Level 9"/>
    <w:basedOn w:val="Normal"/>
    <w:rsid w:val="00B16960"/>
    <w:pPr>
      <w:widowControl w:val="0"/>
    </w:pPr>
    <w:rPr>
      <w:b/>
    </w:rPr>
  </w:style>
  <w:style w:type="paragraph" w:customStyle="1" w:styleId="Level2">
    <w:name w:val="Level 2"/>
    <w:basedOn w:val="Normal"/>
    <w:rsid w:val="00B16960"/>
    <w:pPr>
      <w:widowControl w:val="0"/>
    </w:pPr>
  </w:style>
  <w:style w:type="paragraph" w:customStyle="1" w:styleId="26">
    <w:name w:val="_26"/>
    <w:basedOn w:val="Normal"/>
    <w:rsid w:val="00B16960"/>
    <w:pPr>
      <w:widowControl w:val="0"/>
    </w:pPr>
  </w:style>
  <w:style w:type="paragraph" w:customStyle="1" w:styleId="25">
    <w:name w:val="_25"/>
    <w:basedOn w:val="Normal"/>
    <w:rsid w:val="00B1696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24">
    <w:name w:val="_24"/>
    <w:basedOn w:val="Normal"/>
    <w:rsid w:val="00B16960"/>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23">
    <w:name w:val="_23"/>
    <w:basedOn w:val="Normal"/>
    <w:rsid w:val="00B16960"/>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22">
    <w:name w:val="_22"/>
    <w:basedOn w:val="Normal"/>
    <w:rsid w:val="00B16960"/>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21">
    <w:name w:val="_21"/>
    <w:basedOn w:val="Normal"/>
    <w:rsid w:val="00B16960"/>
    <w:pPr>
      <w:widowControl w:val="0"/>
      <w:tabs>
        <w:tab w:val="left" w:pos="4320"/>
        <w:tab w:val="left" w:pos="5040"/>
        <w:tab w:val="left" w:pos="5760"/>
        <w:tab w:val="left" w:pos="6480"/>
        <w:tab w:val="left" w:pos="7200"/>
        <w:tab w:val="left" w:pos="7920"/>
        <w:tab w:val="left" w:pos="8640"/>
      </w:tabs>
      <w:ind w:left="4320"/>
    </w:pPr>
  </w:style>
  <w:style w:type="paragraph" w:customStyle="1" w:styleId="20">
    <w:name w:val="_20"/>
    <w:basedOn w:val="Normal"/>
    <w:rsid w:val="00B16960"/>
    <w:pPr>
      <w:widowControl w:val="0"/>
      <w:tabs>
        <w:tab w:val="left" w:pos="5040"/>
        <w:tab w:val="left" w:pos="5760"/>
        <w:tab w:val="left" w:pos="6480"/>
        <w:tab w:val="left" w:pos="7200"/>
        <w:tab w:val="left" w:pos="7920"/>
        <w:tab w:val="left" w:pos="8640"/>
      </w:tabs>
      <w:ind w:left="5040"/>
    </w:pPr>
  </w:style>
  <w:style w:type="paragraph" w:customStyle="1" w:styleId="19">
    <w:name w:val="_19"/>
    <w:basedOn w:val="Normal"/>
    <w:rsid w:val="00B16960"/>
    <w:pPr>
      <w:widowControl w:val="0"/>
      <w:tabs>
        <w:tab w:val="left" w:pos="5760"/>
        <w:tab w:val="left" w:pos="6480"/>
        <w:tab w:val="left" w:pos="7200"/>
        <w:tab w:val="left" w:pos="7920"/>
        <w:tab w:val="left" w:pos="8640"/>
      </w:tabs>
      <w:ind w:left="5760"/>
    </w:pPr>
  </w:style>
  <w:style w:type="paragraph" w:customStyle="1" w:styleId="18">
    <w:name w:val="_18"/>
    <w:basedOn w:val="Normal"/>
    <w:rsid w:val="00B16960"/>
    <w:pPr>
      <w:widowControl w:val="0"/>
      <w:tabs>
        <w:tab w:val="left" w:pos="6480"/>
        <w:tab w:val="left" w:pos="7200"/>
        <w:tab w:val="left" w:pos="7920"/>
        <w:tab w:val="left" w:pos="8640"/>
      </w:tabs>
      <w:ind w:left="6480"/>
    </w:pPr>
  </w:style>
  <w:style w:type="paragraph" w:customStyle="1" w:styleId="17">
    <w:name w:val="_17"/>
    <w:basedOn w:val="Normal"/>
    <w:rsid w:val="00B1696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16">
    <w:name w:val="_16"/>
    <w:basedOn w:val="Normal"/>
    <w:rsid w:val="00B1696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15">
    <w:name w:val="_15"/>
    <w:basedOn w:val="Normal"/>
    <w:rsid w:val="00B16960"/>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14">
    <w:name w:val="_14"/>
    <w:basedOn w:val="Normal"/>
    <w:rsid w:val="00B16960"/>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13">
    <w:name w:val="_13"/>
    <w:basedOn w:val="Normal"/>
    <w:rsid w:val="00B16960"/>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12">
    <w:name w:val="_12"/>
    <w:basedOn w:val="Normal"/>
    <w:rsid w:val="00B16960"/>
    <w:pPr>
      <w:widowControl w:val="0"/>
      <w:tabs>
        <w:tab w:val="left" w:pos="4320"/>
        <w:tab w:val="left" w:pos="5040"/>
        <w:tab w:val="left" w:pos="5760"/>
        <w:tab w:val="left" w:pos="6480"/>
        <w:tab w:val="left" w:pos="7200"/>
        <w:tab w:val="left" w:pos="7920"/>
        <w:tab w:val="left" w:pos="8640"/>
      </w:tabs>
      <w:ind w:left="4320"/>
    </w:pPr>
  </w:style>
  <w:style w:type="paragraph" w:customStyle="1" w:styleId="11">
    <w:name w:val="_11"/>
    <w:basedOn w:val="Normal"/>
    <w:rsid w:val="00B16960"/>
    <w:pPr>
      <w:widowControl w:val="0"/>
      <w:tabs>
        <w:tab w:val="left" w:pos="5040"/>
        <w:tab w:val="left" w:pos="5760"/>
        <w:tab w:val="left" w:pos="6480"/>
        <w:tab w:val="left" w:pos="7200"/>
        <w:tab w:val="left" w:pos="7920"/>
        <w:tab w:val="left" w:pos="8640"/>
      </w:tabs>
      <w:ind w:left="5040"/>
    </w:pPr>
  </w:style>
  <w:style w:type="paragraph" w:customStyle="1" w:styleId="10">
    <w:name w:val="_10"/>
    <w:basedOn w:val="Normal"/>
    <w:rsid w:val="00B16960"/>
    <w:pPr>
      <w:widowControl w:val="0"/>
      <w:tabs>
        <w:tab w:val="left" w:pos="5760"/>
        <w:tab w:val="left" w:pos="6480"/>
        <w:tab w:val="left" w:pos="7200"/>
        <w:tab w:val="left" w:pos="7920"/>
        <w:tab w:val="left" w:pos="8640"/>
      </w:tabs>
      <w:ind w:left="5760"/>
    </w:pPr>
  </w:style>
  <w:style w:type="paragraph" w:customStyle="1" w:styleId="9">
    <w:name w:val="_9"/>
    <w:basedOn w:val="Normal"/>
    <w:rsid w:val="00B16960"/>
    <w:pPr>
      <w:widowControl w:val="0"/>
      <w:tabs>
        <w:tab w:val="left" w:pos="6480"/>
        <w:tab w:val="left" w:pos="7200"/>
        <w:tab w:val="left" w:pos="7920"/>
        <w:tab w:val="left" w:pos="8640"/>
      </w:tabs>
      <w:ind w:left="6480"/>
    </w:pPr>
  </w:style>
  <w:style w:type="paragraph" w:customStyle="1" w:styleId="8">
    <w:name w:val="_8"/>
    <w:basedOn w:val="Normal"/>
    <w:rsid w:val="00B1696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7">
    <w:name w:val="_7"/>
    <w:basedOn w:val="Normal"/>
    <w:rsid w:val="00B1696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6">
    <w:name w:val="_6"/>
    <w:basedOn w:val="Normal"/>
    <w:rsid w:val="00B16960"/>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5">
    <w:name w:val="_5"/>
    <w:basedOn w:val="Normal"/>
    <w:rsid w:val="00B16960"/>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4">
    <w:name w:val="_4"/>
    <w:basedOn w:val="Normal"/>
    <w:rsid w:val="00B16960"/>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3">
    <w:name w:val="_3"/>
    <w:basedOn w:val="Normal"/>
    <w:rsid w:val="00B16960"/>
    <w:pPr>
      <w:widowControl w:val="0"/>
      <w:tabs>
        <w:tab w:val="left" w:pos="4320"/>
        <w:tab w:val="left" w:pos="5040"/>
        <w:tab w:val="left" w:pos="5760"/>
        <w:tab w:val="left" w:pos="6480"/>
        <w:tab w:val="left" w:pos="7200"/>
        <w:tab w:val="left" w:pos="7920"/>
        <w:tab w:val="left" w:pos="8640"/>
      </w:tabs>
      <w:ind w:left="4320"/>
    </w:pPr>
  </w:style>
  <w:style w:type="paragraph" w:customStyle="1" w:styleId="2">
    <w:name w:val="_2"/>
    <w:basedOn w:val="Normal"/>
    <w:rsid w:val="00B16960"/>
    <w:pPr>
      <w:widowControl w:val="0"/>
      <w:tabs>
        <w:tab w:val="left" w:pos="5040"/>
        <w:tab w:val="left" w:pos="5760"/>
        <w:tab w:val="left" w:pos="6480"/>
        <w:tab w:val="left" w:pos="7200"/>
        <w:tab w:val="left" w:pos="7920"/>
        <w:tab w:val="left" w:pos="8640"/>
      </w:tabs>
      <w:ind w:left="5040"/>
    </w:pPr>
  </w:style>
  <w:style w:type="paragraph" w:customStyle="1" w:styleId="1">
    <w:name w:val="_1"/>
    <w:basedOn w:val="Normal"/>
    <w:rsid w:val="00B16960"/>
    <w:pPr>
      <w:widowControl w:val="0"/>
      <w:tabs>
        <w:tab w:val="left" w:pos="5760"/>
        <w:tab w:val="left" w:pos="6480"/>
        <w:tab w:val="left" w:pos="7200"/>
        <w:tab w:val="left" w:pos="7920"/>
        <w:tab w:val="left" w:pos="8640"/>
      </w:tabs>
      <w:ind w:left="5760"/>
    </w:pPr>
  </w:style>
  <w:style w:type="paragraph" w:customStyle="1" w:styleId="a">
    <w:name w:val="_"/>
    <w:basedOn w:val="Normal"/>
    <w:rsid w:val="00B16960"/>
    <w:pPr>
      <w:widowControl w:val="0"/>
      <w:tabs>
        <w:tab w:val="left" w:pos="6480"/>
        <w:tab w:val="left" w:pos="7200"/>
        <w:tab w:val="left" w:pos="7920"/>
        <w:tab w:val="left" w:pos="8640"/>
      </w:tabs>
      <w:ind w:left="6480"/>
    </w:pPr>
  </w:style>
  <w:style w:type="character" w:customStyle="1" w:styleId="DefaultPara">
    <w:name w:val="Default Para"/>
    <w:basedOn w:val="DefaultParagraphFont"/>
    <w:rsid w:val="00B16960"/>
  </w:style>
  <w:style w:type="paragraph" w:customStyle="1" w:styleId="Tablecaptio">
    <w:name w:val="Table captio"/>
    <w:basedOn w:val="Normal"/>
    <w:rsid w:val="00B16960"/>
    <w:rPr>
      <w:rFonts w:ascii="Arial" w:hAnsi="Arial"/>
      <w:sz w:val="22"/>
    </w:rPr>
  </w:style>
  <w:style w:type="paragraph" w:customStyle="1" w:styleId="Table">
    <w:name w:val="Table"/>
    <w:basedOn w:val="Normal"/>
    <w:rsid w:val="00B16960"/>
    <w:rPr>
      <w:rFonts w:ascii="Arial" w:hAnsi="Arial"/>
      <w:b/>
      <w:sz w:val="22"/>
    </w:rPr>
  </w:style>
  <w:style w:type="character" w:customStyle="1" w:styleId="TableChar">
    <w:name w:val="Table Char"/>
    <w:rsid w:val="00B16960"/>
    <w:rPr>
      <w:rFonts w:ascii="Arial" w:hAnsi="Arial"/>
      <w:b/>
      <w:sz w:val="22"/>
    </w:rPr>
  </w:style>
  <w:style w:type="paragraph" w:customStyle="1" w:styleId="WPTitle">
    <w:name w:val="WP_Title"/>
    <w:basedOn w:val="Normal"/>
    <w:rsid w:val="00B16960"/>
    <w:rPr>
      <w:rFonts w:ascii="Arial" w:hAnsi="Arial"/>
      <w:sz w:val="22"/>
    </w:rPr>
  </w:style>
  <w:style w:type="character" w:customStyle="1" w:styleId="TitleChar">
    <w:name w:val="Title Char"/>
    <w:rsid w:val="00B16960"/>
    <w:rPr>
      <w:rFonts w:ascii="Arial" w:hAnsi="Arial"/>
      <w:sz w:val="22"/>
    </w:rPr>
  </w:style>
  <w:style w:type="paragraph" w:customStyle="1" w:styleId="Figure">
    <w:name w:val="Figure"/>
    <w:basedOn w:val="Normal"/>
    <w:rsid w:val="00B16960"/>
    <w:rPr>
      <w:rFonts w:ascii="Arial" w:hAnsi="Arial"/>
      <w:b/>
      <w:sz w:val="22"/>
    </w:rPr>
  </w:style>
  <w:style w:type="character" w:customStyle="1" w:styleId="FigureChar">
    <w:name w:val="Figure Char"/>
    <w:rsid w:val="00B16960"/>
    <w:rPr>
      <w:rFonts w:ascii="Arial" w:hAnsi="Arial"/>
      <w:b/>
      <w:sz w:val="22"/>
    </w:rPr>
  </w:style>
  <w:style w:type="paragraph" w:customStyle="1" w:styleId="Level1">
    <w:name w:val="Level 1"/>
    <w:basedOn w:val="Normal"/>
    <w:rsid w:val="00B16960"/>
    <w:pPr>
      <w:widowControl w:val="0"/>
    </w:pPr>
  </w:style>
  <w:style w:type="character" w:customStyle="1" w:styleId="SYSHYPERTEXT">
    <w:name w:val="SYS_HYPERTEXT"/>
    <w:rsid w:val="00B16960"/>
    <w:rPr>
      <w:color w:val="0000FF"/>
      <w:u w:val="single"/>
    </w:rPr>
  </w:style>
  <w:style w:type="paragraph" w:styleId="TOC2">
    <w:name w:val="toc 2"/>
    <w:basedOn w:val="Normal"/>
    <w:next w:val="Normal"/>
    <w:autoRedefine/>
    <w:uiPriority w:val="39"/>
    <w:unhideWhenUsed/>
    <w:qFormat/>
    <w:rsid w:val="00B75D3C"/>
    <w:pPr>
      <w:ind w:left="240"/>
    </w:pPr>
  </w:style>
  <w:style w:type="paragraph" w:styleId="TOC3">
    <w:name w:val="toc 3"/>
    <w:basedOn w:val="Normal"/>
    <w:next w:val="Normal"/>
    <w:autoRedefine/>
    <w:uiPriority w:val="39"/>
    <w:unhideWhenUsed/>
    <w:qFormat/>
    <w:rsid w:val="00B75D3C"/>
    <w:pPr>
      <w:ind w:left="480"/>
    </w:pPr>
  </w:style>
  <w:style w:type="paragraph" w:styleId="TOC4">
    <w:name w:val="toc 4"/>
    <w:basedOn w:val="Normal"/>
    <w:next w:val="Normal"/>
    <w:autoRedefine/>
    <w:uiPriority w:val="39"/>
    <w:unhideWhenUsed/>
    <w:rsid w:val="00B75D3C"/>
    <w:pPr>
      <w:ind w:left="720"/>
    </w:pPr>
  </w:style>
  <w:style w:type="paragraph" w:styleId="Header">
    <w:name w:val="header"/>
    <w:basedOn w:val="Normal"/>
    <w:link w:val="HeaderChar"/>
    <w:uiPriority w:val="99"/>
    <w:unhideWhenUsed/>
    <w:rsid w:val="009E74DF"/>
    <w:pPr>
      <w:tabs>
        <w:tab w:val="center" w:pos="4680"/>
        <w:tab w:val="right" w:pos="9360"/>
      </w:tabs>
    </w:pPr>
  </w:style>
  <w:style w:type="character" w:customStyle="1" w:styleId="HeaderChar">
    <w:name w:val="Header Char"/>
    <w:link w:val="Header"/>
    <w:uiPriority w:val="99"/>
    <w:rsid w:val="009E74DF"/>
    <w:rPr>
      <w:sz w:val="24"/>
    </w:rPr>
  </w:style>
  <w:style w:type="paragraph" w:styleId="Footer">
    <w:name w:val="footer"/>
    <w:basedOn w:val="Normal"/>
    <w:link w:val="FooterChar"/>
    <w:uiPriority w:val="99"/>
    <w:unhideWhenUsed/>
    <w:rsid w:val="009E74DF"/>
    <w:pPr>
      <w:tabs>
        <w:tab w:val="center" w:pos="4680"/>
        <w:tab w:val="right" w:pos="9360"/>
      </w:tabs>
    </w:pPr>
  </w:style>
  <w:style w:type="character" w:customStyle="1" w:styleId="FooterChar">
    <w:name w:val="Footer Char"/>
    <w:link w:val="Footer"/>
    <w:uiPriority w:val="99"/>
    <w:rsid w:val="009E74DF"/>
    <w:rPr>
      <w:sz w:val="24"/>
    </w:rPr>
  </w:style>
  <w:style w:type="paragraph" w:styleId="BalloonText">
    <w:name w:val="Balloon Text"/>
    <w:basedOn w:val="Normal"/>
    <w:link w:val="BalloonTextChar"/>
    <w:uiPriority w:val="99"/>
    <w:semiHidden/>
    <w:unhideWhenUsed/>
    <w:rsid w:val="00E4390A"/>
    <w:rPr>
      <w:rFonts w:ascii="Tahoma" w:hAnsi="Tahoma"/>
      <w:sz w:val="16"/>
      <w:szCs w:val="16"/>
    </w:rPr>
  </w:style>
  <w:style w:type="character" w:customStyle="1" w:styleId="BalloonTextChar">
    <w:name w:val="Balloon Text Char"/>
    <w:link w:val="BalloonText"/>
    <w:uiPriority w:val="99"/>
    <w:semiHidden/>
    <w:rsid w:val="00E4390A"/>
    <w:rPr>
      <w:rFonts w:ascii="Tahoma" w:hAnsi="Tahoma" w:cs="Tahoma"/>
      <w:sz w:val="16"/>
      <w:szCs w:val="16"/>
    </w:rPr>
  </w:style>
  <w:style w:type="character" w:styleId="Hyperlink">
    <w:name w:val="Hyperlink"/>
    <w:basedOn w:val="DefaultParagraphFont"/>
    <w:uiPriority w:val="99"/>
    <w:unhideWhenUsed/>
    <w:rsid w:val="000543A9"/>
    <w:rPr>
      <w:b/>
      <w:bCs/>
      <w:color w:val="2F3586"/>
      <w:sz w:val="11"/>
      <w:szCs w:val="11"/>
      <w:u w:val="single"/>
    </w:rPr>
  </w:style>
  <w:style w:type="character" w:styleId="CommentReference">
    <w:name w:val="annotation reference"/>
    <w:basedOn w:val="DefaultParagraphFont"/>
    <w:uiPriority w:val="99"/>
    <w:semiHidden/>
    <w:unhideWhenUsed/>
    <w:rsid w:val="00E15D80"/>
    <w:rPr>
      <w:sz w:val="16"/>
      <w:szCs w:val="16"/>
    </w:rPr>
  </w:style>
  <w:style w:type="paragraph" w:styleId="CommentText">
    <w:name w:val="annotation text"/>
    <w:basedOn w:val="Normal"/>
    <w:link w:val="CommentTextChar"/>
    <w:uiPriority w:val="99"/>
    <w:semiHidden/>
    <w:unhideWhenUsed/>
    <w:rsid w:val="00E15D80"/>
    <w:rPr>
      <w:sz w:val="20"/>
    </w:rPr>
  </w:style>
  <w:style w:type="character" w:customStyle="1" w:styleId="CommentTextChar">
    <w:name w:val="Comment Text Char"/>
    <w:basedOn w:val="DefaultParagraphFont"/>
    <w:link w:val="CommentText"/>
    <w:uiPriority w:val="99"/>
    <w:semiHidden/>
    <w:rsid w:val="00E15D80"/>
  </w:style>
  <w:style w:type="paragraph" w:customStyle="1" w:styleId="Default">
    <w:name w:val="Default"/>
    <w:rsid w:val="004821ED"/>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A82918"/>
    <w:pPr>
      <w:ind w:left="720"/>
      <w:contextualSpacing/>
    </w:pPr>
  </w:style>
  <w:style w:type="paragraph" w:customStyle="1" w:styleId="CM5">
    <w:name w:val="CM5"/>
    <w:basedOn w:val="Default"/>
    <w:next w:val="Default"/>
    <w:uiPriority w:val="99"/>
    <w:rsid w:val="008E6B05"/>
    <w:pPr>
      <w:spacing w:line="546" w:lineRule="atLeast"/>
    </w:pPr>
    <w:rPr>
      <w:rFonts w:ascii="Courier New" w:hAnsi="Courier New" w:cs="Courier New"/>
      <w:color w:val="auto"/>
    </w:rPr>
  </w:style>
  <w:style w:type="paragraph" w:customStyle="1" w:styleId="CM18">
    <w:name w:val="CM18"/>
    <w:basedOn w:val="Default"/>
    <w:next w:val="Default"/>
    <w:uiPriority w:val="99"/>
    <w:rsid w:val="009A7F75"/>
    <w:pPr>
      <w:spacing w:line="546" w:lineRule="atLeast"/>
    </w:pPr>
    <w:rPr>
      <w:rFonts w:ascii="Courier New" w:hAnsi="Courier New" w:cs="Courier New"/>
      <w:color w:val="auto"/>
    </w:rPr>
  </w:style>
  <w:style w:type="character" w:customStyle="1" w:styleId="Heading2Char">
    <w:name w:val="Heading 2 Char"/>
    <w:basedOn w:val="DefaultParagraphFont"/>
    <w:link w:val="Heading2"/>
    <w:uiPriority w:val="9"/>
    <w:rsid w:val="00A2719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27198"/>
    <w:rPr>
      <w:rFonts w:asciiTheme="majorHAnsi" w:eastAsiaTheme="majorEastAsia" w:hAnsiTheme="majorHAnsi" w:cstheme="majorBidi"/>
      <w:color w:val="243F60" w:themeColor="accent1" w:themeShade="7F"/>
      <w:sz w:val="24"/>
      <w:szCs w:val="24"/>
    </w:rPr>
  </w:style>
  <w:style w:type="character" w:styleId="PageNumber">
    <w:name w:val="page number"/>
    <w:basedOn w:val="DefaultParagraphFont"/>
    <w:rsid w:val="00521CA1"/>
  </w:style>
  <w:style w:type="paragraph" w:customStyle="1" w:styleId="CM7">
    <w:name w:val="CM7"/>
    <w:basedOn w:val="Default"/>
    <w:next w:val="Default"/>
    <w:uiPriority w:val="99"/>
    <w:rsid w:val="00451611"/>
    <w:pPr>
      <w:spacing w:line="543" w:lineRule="atLeast"/>
    </w:pPr>
    <w:rPr>
      <w:rFonts w:ascii="Courier Std" w:hAnsi="Courier Std" w:cs="Times New Roman"/>
      <w:color w:val="auto"/>
    </w:rPr>
  </w:style>
  <w:style w:type="character" w:customStyle="1" w:styleId="Heading1Char">
    <w:name w:val="Heading 1 Char"/>
    <w:basedOn w:val="DefaultParagraphFont"/>
    <w:link w:val="Heading1"/>
    <w:uiPriority w:val="9"/>
    <w:rsid w:val="00902CE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902CE5"/>
    <w:pPr>
      <w:spacing w:line="259" w:lineRule="auto"/>
      <w:outlineLvl w:val="9"/>
    </w:pPr>
  </w:style>
  <w:style w:type="character" w:styleId="FollowedHyperlink">
    <w:name w:val="FollowedHyperlink"/>
    <w:basedOn w:val="DefaultParagraphFont"/>
    <w:uiPriority w:val="99"/>
    <w:semiHidden/>
    <w:unhideWhenUsed/>
    <w:rsid w:val="00D2123D"/>
    <w:rPr>
      <w:color w:val="800080" w:themeColor="followedHyperlink"/>
      <w:u w:val="single"/>
    </w:rPr>
  </w:style>
  <w:style w:type="paragraph" w:styleId="NoSpacing">
    <w:name w:val="No Spacing"/>
    <w:uiPriority w:val="1"/>
    <w:qFormat/>
    <w:rsid w:val="00C6139D"/>
    <w:rPr>
      <w:sz w:val="24"/>
    </w:rPr>
  </w:style>
  <w:style w:type="paragraph" w:customStyle="1" w:styleId="CM3">
    <w:name w:val="CM3"/>
    <w:basedOn w:val="Default"/>
    <w:next w:val="Default"/>
    <w:uiPriority w:val="99"/>
    <w:rsid w:val="00F27DFE"/>
    <w:pPr>
      <w:spacing w:line="546" w:lineRule="atLeast"/>
    </w:pPr>
    <w:rPr>
      <w:rFonts w:ascii="Courier Std" w:hAnsi="Courier Std" w:cs="Times New Roman"/>
      <w:color w:val="auto"/>
    </w:rPr>
  </w:style>
  <w:style w:type="character" w:customStyle="1" w:styleId="Heading4Char">
    <w:name w:val="Heading 4 Char"/>
    <w:basedOn w:val="DefaultParagraphFont"/>
    <w:link w:val="Heading4"/>
    <w:uiPriority w:val="9"/>
    <w:rsid w:val="000B0BB8"/>
    <w:rPr>
      <w:rFonts w:asciiTheme="majorHAnsi" w:eastAsiaTheme="majorEastAsia" w:hAnsiTheme="majorHAnsi" w:cstheme="majorBidi"/>
      <w:b/>
      <w:bCs/>
      <w:i/>
      <w:iCs/>
      <w:color w:val="4F81BD"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323785">
      <w:bodyDiv w:val="1"/>
      <w:marLeft w:val="0"/>
      <w:marRight w:val="0"/>
      <w:marTop w:val="0"/>
      <w:marBottom w:val="0"/>
      <w:divBdr>
        <w:top w:val="none" w:sz="0" w:space="0" w:color="auto"/>
        <w:left w:val="none" w:sz="0" w:space="0" w:color="auto"/>
        <w:bottom w:val="none" w:sz="0" w:space="0" w:color="auto"/>
        <w:right w:val="none" w:sz="0" w:space="0" w:color="auto"/>
      </w:divBdr>
    </w:div>
    <w:div w:id="1305501199">
      <w:bodyDiv w:val="1"/>
      <w:marLeft w:val="0"/>
      <w:marRight w:val="0"/>
      <w:marTop w:val="30"/>
      <w:marBottom w:val="750"/>
      <w:divBdr>
        <w:top w:val="none" w:sz="0" w:space="0" w:color="auto"/>
        <w:left w:val="none" w:sz="0" w:space="0" w:color="auto"/>
        <w:bottom w:val="none" w:sz="0" w:space="0" w:color="auto"/>
        <w:right w:val="none" w:sz="0" w:space="0" w:color="auto"/>
      </w:divBdr>
      <w:divsChild>
        <w:div w:id="1066877837">
          <w:marLeft w:val="0"/>
          <w:marRight w:val="0"/>
          <w:marTop w:val="0"/>
          <w:marBottom w:val="0"/>
          <w:divBdr>
            <w:top w:val="none" w:sz="0" w:space="0" w:color="auto"/>
            <w:left w:val="none" w:sz="0" w:space="0" w:color="auto"/>
            <w:bottom w:val="none" w:sz="0" w:space="0" w:color="auto"/>
            <w:right w:val="none" w:sz="0" w:space="0" w:color="auto"/>
          </w:divBdr>
          <w:divsChild>
            <w:div w:id="785999384">
              <w:marLeft w:val="0"/>
              <w:marRight w:val="0"/>
              <w:marTop w:val="0"/>
              <w:marBottom w:val="0"/>
              <w:divBdr>
                <w:top w:val="none" w:sz="0" w:space="0" w:color="auto"/>
                <w:left w:val="none" w:sz="0" w:space="0" w:color="auto"/>
                <w:bottom w:val="none" w:sz="0" w:space="0" w:color="auto"/>
                <w:right w:val="none" w:sz="0" w:space="0" w:color="auto"/>
              </w:divBdr>
              <w:divsChild>
                <w:div w:id="50844329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Documents%20and%20Settings\Lee\Local%20Settings\Temporary%20Internet%20Files\AppData\Local\Microsoft\Windows\Temporary%20Internet%20Files\Content.Outlook\XALCD6IX\(http:\www.wrapair2.org\PhaseIII.aspx)" TargetMode="External"/><Relationship Id="rId18" Type="http://schemas.openxmlformats.org/officeDocument/2006/relationships/hyperlink" Target="http://www.ecfr.gov/cgi-bin/text-idx?c=ecfr&amp;SID=87fc616f76940ac52050146859bf7538&amp;tpl=/ecfrbrowse/Title40/40cfr1039_main_02.tpl" TargetMode="External"/><Relationship Id="rId26" Type="http://schemas.openxmlformats.org/officeDocument/2006/relationships/header" Target="header4.xml"/><Relationship Id="rId39" Type="http://schemas.openxmlformats.org/officeDocument/2006/relationships/hyperlink" Target="http://www.wrapair.org/forums/ogwg/documents/2009-03_06_Baseline_Emissions_Uinta_Basin_Technical_Memo_03-25.pdf" TargetMode="External"/><Relationship Id="rId21" Type="http://schemas.openxmlformats.org/officeDocument/2006/relationships/header" Target="header2.xml"/><Relationship Id="rId34" Type="http://schemas.openxmlformats.org/officeDocument/2006/relationships/image" Target="media/image3.wmf"/><Relationship Id="rId42" Type="http://schemas.openxmlformats.org/officeDocument/2006/relationships/image" Target="media/image6.wmf"/><Relationship Id="rId47" Type="http://schemas.openxmlformats.org/officeDocument/2006/relationships/oleObject" Target="embeddings/oleObject3.bin"/><Relationship Id="rId50" Type="http://schemas.openxmlformats.org/officeDocument/2006/relationships/image" Target="media/image9.wmf"/><Relationship Id="rId55" Type="http://schemas.openxmlformats.org/officeDocument/2006/relationships/image" Target="media/image11.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cfr.gov/cgi-bin/text-idx?c=ecfr&amp;SID=76a8c177e56077333836b4d3204f32e4&amp;rgn=div6&amp;view=text&amp;node=40:7.0.1.1.1.98&amp;idno=40" TargetMode="External"/><Relationship Id="rId20" Type="http://schemas.openxmlformats.org/officeDocument/2006/relationships/header" Target="header1.xml"/><Relationship Id="rId29" Type="http://schemas.openxmlformats.org/officeDocument/2006/relationships/hyperlink" Target="http://www.ndhealth.gov/AQ/OilAndGasWells_files/New%20Guidance%20O&amp;G%20Files/20110502Oil%20%20Gas%20Permitting%20Guidance.pdf" TargetMode="External"/><Relationship Id="rId41" Type="http://schemas.openxmlformats.org/officeDocument/2006/relationships/hyperlink" Target="http://www.wrapair.org/forums/ogwg/documents/2009-01_06_Baseline_Emissions_Piceance_Basin_Technical_Memo_01-20.pdf" TargetMode="External"/><Relationship Id="rId54" Type="http://schemas.openxmlformats.org/officeDocument/2006/relationships/footer" Target="footer5.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rapair2.org/Oil_Gas.aspx" TargetMode="External"/><Relationship Id="rId24" Type="http://schemas.openxmlformats.org/officeDocument/2006/relationships/hyperlink" Target="http://www.mtrules.org/gateway/ruleno.asp?RN=36%2E22%2E1221" TargetMode="External"/><Relationship Id="rId32" Type="http://schemas.openxmlformats.org/officeDocument/2006/relationships/hyperlink" Target="file:///C:\Documents%20and%20Settings\Lee\Local%20Settings\Temporary%20Internet%20Files\AppData\Local\Microsoft\Windows\Temporary%20Internet%20Files\Content.Outlook\XALCD6IX\%3chttp:\www.wrapair.org\forums\ogwg\Phases_I_and_II_Inventories.htmlt%3e" TargetMode="External"/><Relationship Id="rId37" Type="http://schemas.openxmlformats.org/officeDocument/2006/relationships/oleObject" Target="embeddings/oleObject1.bin"/><Relationship Id="rId40" Type="http://schemas.openxmlformats.org/officeDocument/2006/relationships/image" Target="media/image5.wmf"/><Relationship Id="rId45" Type="http://schemas.openxmlformats.org/officeDocument/2006/relationships/hyperlink" Target="http://www.wrapair.org/forums/ogwg/documents/SSanJuanBasin/2009-11y_06_Baseline_S_San_JuanBasin_Technical_Memo_11-25R.pdf" TargetMode="External"/><Relationship Id="rId53" Type="http://schemas.openxmlformats.org/officeDocument/2006/relationships/hyperlink" Target="http://www.wrapair2.org/pdf/2006_Baseline_Emiss_SWWY_Basin_120712.pdf" TargetMode="External"/><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www.ecfr.gov/cgi-bin/text-idx?c=ecfr&amp;SID=3e1e822c2995c7186d6ae658d35705da&amp;rgn=div6&amp;view=text&amp;node=40:7.0.1.1.1.97&amp;idno=40" TargetMode="External"/><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image" Target="media/image4.wmf"/><Relationship Id="rId49" Type="http://schemas.openxmlformats.org/officeDocument/2006/relationships/hyperlink" Target="http://www.wrapair.org/forums/ogwg/documents/2010-07_'06%20Baseline;%20Wind%20RiverBasin%20Technical%20Memo%20(07-14).pdf" TargetMode="External"/><Relationship Id="rId57" Type="http://schemas.openxmlformats.org/officeDocument/2006/relationships/hyperlink" Target="http://www.wrapair2.org/ND-SD-MT.aspx" TargetMode="External"/><Relationship Id="rId61" Type="http://schemas.openxmlformats.org/officeDocument/2006/relationships/footer" Target="footer7.xml"/><Relationship Id="rId10" Type="http://schemas.openxmlformats.org/officeDocument/2006/relationships/hyperlink" Target="http://www.wrapair.org/forums/ogwg/Phases_I_and_II_Inventories.html" TargetMode="External"/><Relationship Id="rId19" Type="http://schemas.openxmlformats.org/officeDocument/2006/relationships/hyperlink" Target="http://www.ecfr.gov/cgi-bin/text-idx?c=ecfr&amp;SID=766a6aaa5d5b0e86ae09c1c9f56af5f8&amp;tpl=/ecfrbrowse/Title40/40cfr1048_main_02.tpl" TargetMode="External"/><Relationship Id="rId31" Type="http://schemas.openxmlformats.org/officeDocument/2006/relationships/image" Target="media/image2.png"/><Relationship Id="rId44" Type="http://schemas.openxmlformats.org/officeDocument/2006/relationships/image" Target="media/image7.wmf"/><Relationship Id="rId52" Type="http://schemas.openxmlformats.org/officeDocument/2006/relationships/image" Target="media/image10.png"/><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file:///C:\Documents%20and%20Settings\Lee\Local%20Settings\Temporary%20Internet%20Files\AppData\Local\Microsoft\Windows\Temporary%20Internet%20Files\Content.Outlook\XALCD6IX\(http:\www.wrapair2.org\PhaseIII.aspx)" TargetMode="External"/><Relationship Id="rId14" Type="http://schemas.openxmlformats.org/officeDocument/2006/relationships/hyperlink" Target="http://www.ecfr.gov/cgi-bin/text-idx?SID=d262c561c7c8fe0534dff0978ef9eb71&amp;tpl=/ecfrbrowse/Title40/40tab_02.tpl" TargetMode="External"/><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hyperlink" Target="http://www.wrapair2.org/Oil_Gas.aspx" TargetMode="External"/><Relationship Id="rId35" Type="http://schemas.openxmlformats.org/officeDocument/2006/relationships/hyperlink" Target="http://www.wrapair.org/forums/ogwg/documents/2008-04_'06_Baseline_Emissions_DJ_Basin_Technical_Memo_(04-30).pdf" TargetMode="External"/><Relationship Id="rId43" Type="http://schemas.openxmlformats.org/officeDocument/2006/relationships/hyperlink" Target="http://www.wrapair.org/forums/ogwg/documents/NSanJuanBasin/2009-09_06_Baseline_and_12_Midterm_Emissions_N_San_Juan_Basin_Technical_Memo_09-01.pdf" TargetMode="External"/><Relationship Id="rId48" Type="http://schemas.openxmlformats.org/officeDocument/2006/relationships/oleObject" Target="embeddings/oleObject4.bin"/><Relationship Id="rId56" Type="http://schemas.openxmlformats.org/officeDocument/2006/relationships/hyperlink" Target="http://www.wrapair2.org/pdf/2009_Baseline_Emiss_Williston_Basin_062513.pdf" TargetMode="External"/><Relationship Id="rId8" Type="http://schemas.openxmlformats.org/officeDocument/2006/relationships/image" Target="media/image1.emf"/><Relationship Id="rId51" Type="http://schemas.openxmlformats.org/officeDocument/2006/relationships/hyperlink" Target="http://www.wrapair2.org/pdf/2011-06_%2706%20Baseline%20Emissions;%20Powder%20River%20Basin%20%2806-10%29.pdf" TargetMode="External"/><Relationship Id="rId3" Type="http://schemas.openxmlformats.org/officeDocument/2006/relationships/styles" Target="styles.xml"/><Relationship Id="rId12" Type="http://schemas.openxmlformats.org/officeDocument/2006/relationships/hyperlink" Target="http://www.wrapair2.org/PhaseIII.aspx" TargetMode="External"/><Relationship Id="rId17" Type="http://schemas.openxmlformats.org/officeDocument/2006/relationships/hyperlink" Target="http://www.ecfr.gov/cgi-bin/text-idx?c=ecfr&amp;SID=76a8c177e56077333836b4d3204f32e4&amp;rgn=div6&amp;view=text&amp;node=40:7.0.1.1.1.99&amp;idno=40" TargetMode="External"/><Relationship Id="rId25" Type="http://schemas.openxmlformats.org/officeDocument/2006/relationships/header" Target="header3.xml"/><Relationship Id="rId33" Type="http://schemas.openxmlformats.org/officeDocument/2006/relationships/hyperlink" Target="http://www.wrapair2.org/PhaseIII.aspx" TargetMode="External"/><Relationship Id="rId38" Type="http://schemas.openxmlformats.org/officeDocument/2006/relationships/oleObject" Target="embeddings/oleObject2.bin"/><Relationship Id="rId46" Type="http://schemas.openxmlformats.org/officeDocument/2006/relationships/image" Target="media/image8.wmf"/><Relationship Id="rId5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8336D-22A3-438A-98AC-DA5773A1B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79</Pages>
  <Words>27112</Words>
  <Characters>154541</Characters>
  <Application>Microsoft Office Word</Application>
  <DocSecurity>0</DocSecurity>
  <Lines>1287</Lines>
  <Paragraphs>362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181291</CharactersWithSpaces>
  <SharedDoc>false</SharedDoc>
  <HLinks>
    <vt:vector size="48" baseType="variant">
      <vt:variant>
        <vt:i4>5701697</vt:i4>
      </vt:variant>
      <vt:variant>
        <vt:i4>213</vt:i4>
      </vt:variant>
      <vt:variant>
        <vt:i4>0</vt:i4>
      </vt:variant>
      <vt:variant>
        <vt:i4>5</vt:i4>
      </vt:variant>
      <vt:variant>
        <vt:lpwstr>http://www.wrapair2.org/PhaseIII.aspx</vt:lpwstr>
      </vt:variant>
      <vt:variant>
        <vt:lpwstr/>
      </vt:variant>
      <vt:variant>
        <vt:i4>7209081</vt:i4>
      </vt:variant>
      <vt:variant>
        <vt:i4>210</vt:i4>
      </vt:variant>
      <vt:variant>
        <vt:i4>0</vt:i4>
      </vt:variant>
      <vt:variant>
        <vt:i4>5</vt:i4>
      </vt:variant>
      <vt:variant>
        <vt:lpwstr>../../../../../Local Settings/Temporary Internet Files/AppData/Local/Microsoft/Windows/Temporary Internet Files/Content.Outlook/XALCD6IX/%3cwww/wrapair2.org%3e</vt:lpwstr>
      </vt:variant>
      <vt:variant>
        <vt:lpwstr/>
      </vt:variant>
      <vt:variant>
        <vt:i4>4980754</vt:i4>
      </vt:variant>
      <vt:variant>
        <vt:i4>207</vt:i4>
      </vt:variant>
      <vt:variant>
        <vt:i4>0</vt:i4>
      </vt:variant>
      <vt:variant>
        <vt:i4>5</vt:i4>
      </vt:variant>
      <vt:variant>
        <vt:lpwstr>../../../../../Local Settings/Temporary Internet Files/AppData/Local/Microsoft/Windows/Temporary Internet Files/Content.Outlook/XALCD6IX/%3chttp:/www.wrapair.org/forums/ogwg/Phases_I_and_II_Inventories.htmlt%3e</vt:lpwstr>
      </vt:variant>
      <vt:variant>
        <vt:lpwstr/>
      </vt:variant>
      <vt:variant>
        <vt:i4>2162714</vt:i4>
      </vt:variant>
      <vt:variant>
        <vt:i4>202</vt:i4>
      </vt:variant>
      <vt:variant>
        <vt:i4>0</vt:i4>
      </vt:variant>
      <vt:variant>
        <vt:i4>5</vt:i4>
      </vt:variant>
      <vt:variant>
        <vt:lpwstr>mailto:a-and-4-Docket@epa.gov</vt:lpwstr>
      </vt:variant>
      <vt:variant>
        <vt:lpwstr/>
      </vt:variant>
      <vt:variant>
        <vt:i4>2818151</vt:i4>
      </vt:variant>
      <vt:variant>
        <vt:i4>199</vt:i4>
      </vt:variant>
      <vt:variant>
        <vt:i4>0</vt:i4>
      </vt:variant>
      <vt:variant>
        <vt:i4>5</vt:i4>
      </vt:variant>
      <vt:variant>
        <vt:lpwstr>http://www.regulations.gov/</vt:lpwstr>
      </vt:variant>
      <vt:variant>
        <vt:lpwstr/>
      </vt:variant>
      <vt:variant>
        <vt:i4>3080199</vt:i4>
      </vt:variant>
      <vt:variant>
        <vt:i4>196</vt:i4>
      </vt:variant>
      <vt:variant>
        <vt:i4>0</vt:i4>
      </vt:variant>
      <vt:variant>
        <vt:i4>5</vt:i4>
      </vt:variant>
      <vt:variant>
        <vt:lpwstr>http://www.wrapair2.org/Oil_Gas.aspx</vt:lpwstr>
      </vt:variant>
      <vt:variant>
        <vt:lpwstr/>
      </vt:variant>
      <vt:variant>
        <vt:i4>2162796</vt:i4>
      </vt:variant>
      <vt:variant>
        <vt:i4>193</vt:i4>
      </vt:variant>
      <vt:variant>
        <vt:i4>0</vt:i4>
      </vt:variant>
      <vt:variant>
        <vt:i4>5</vt:i4>
      </vt:variant>
      <vt:variant>
        <vt:lpwstr>../../../../../Local Settings/Temporary Internet Files/AppData/Local/Microsoft/Windows/Temporary Internet Files/Content.Outlook/XALCD6IX/(http:/www.wrapair2.org/PhaseIII.aspx)</vt:lpwstr>
      </vt:variant>
      <vt:variant>
        <vt:lpwstr/>
      </vt:variant>
      <vt:variant>
        <vt:i4>2162796</vt:i4>
      </vt:variant>
      <vt:variant>
        <vt:i4>190</vt:i4>
      </vt:variant>
      <vt:variant>
        <vt:i4>0</vt:i4>
      </vt:variant>
      <vt:variant>
        <vt:i4>5</vt:i4>
      </vt:variant>
      <vt:variant>
        <vt:lpwstr>../../../../../Local Settings/Temporary Internet Files/AppData/Local/Microsoft/Windows/Temporary Internet Files/Content.Outlook/XALCD6IX/(http:/www.wrapair2.org/PhaseIII.aspx)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Lee Gribovicz</cp:lastModifiedBy>
  <cp:revision>10</cp:revision>
  <cp:lastPrinted>2013-10-09T19:10:00Z</cp:lastPrinted>
  <dcterms:created xsi:type="dcterms:W3CDTF">2013-11-08T18:55:00Z</dcterms:created>
  <dcterms:modified xsi:type="dcterms:W3CDTF">2013-11-10T06:22:00Z</dcterms:modified>
</cp:coreProperties>
</file>